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5C4" w:rsidRDefault="006E4D14">
      <w:pPr>
        <w:widowControl/>
        <w:jc w:val="center"/>
        <w:rPr>
          <w:rFonts w:ascii="Times New Roman" w:hAnsi="Times New Roman" w:cs="Times New Roman"/>
          <w:noProof/>
        </w:rPr>
      </w:pPr>
      <w:r>
        <w:fldChar w:fldCharType="begin" w:fldLock="1"/>
      </w:r>
      <w:r>
        <w:instrText xml:space="preserve">ref </w:instrText>
      </w:r>
      <w:r>
        <w:rPr>
          <w:rFonts w:ascii="Times New Roman" w:hAnsi="Times New Roman" w:cs="Times New Roman"/>
          <w:b/>
          <w:bCs/>
        </w:rPr>
        <w:instrText xml:space="preserve"> SHAPE  \* MERGEFORMAT </w:instrText>
      </w:r>
      <w:r>
        <w:fldChar w:fldCharType="separate"/>
      </w:r>
    </w:p>
    <w:p w:rsidR="00DE05C4" w:rsidRDefault="00DE05C4">
      <w:pPr>
        <w:widowControl/>
        <w:rPr>
          <w:rFonts w:ascii="Times New Roman" w:hAnsi="Times New Roman" w:cs="Times New Roman"/>
          <w:noProof/>
        </w:rPr>
      </w:pPr>
    </w:p>
    <w:p w:rsidR="00DE05C4" w:rsidRDefault="00434F20">
      <w:pPr>
        <w:widowControl/>
        <w:jc w:val="center"/>
        <w:rPr>
          <w:rFonts w:ascii="Times New Roman" w:hAnsi="Times New Roman" w:cs="Times New Roman"/>
          <w:b/>
          <w:bCs/>
        </w:rPr>
      </w:pPr>
      <w:r>
        <w:rPr>
          <w:noProof/>
        </w:rPr>
        <w:drawing>
          <wp:inline distT="0" distB="0" distL="0" distR="0" wp14:anchorId="5EDFBFB3" wp14:editId="48CA2B11">
            <wp:extent cx="2236765" cy="2340000"/>
            <wp:effectExtent l="0" t="0" r="0" b="3175"/>
            <wp:docPr id="3" name="Image 3" descr="C:\Users\CM_001\AppData\Local\Temp\notesC7A056\~1182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_001\AppData\Local\Temp\notesC7A056\~118290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6765" cy="2340000"/>
                    </a:xfrm>
                    <a:prstGeom prst="rect">
                      <a:avLst/>
                    </a:prstGeom>
                    <a:noFill/>
                    <a:ln>
                      <a:noFill/>
                    </a:ln>
                  </pic:spPr>
                </pic:pic>
              </a:graphicData>
            </a:graphic>
          </wp:inline>
        </w:drawing>
      </w:r>
      <w:r w:rsidR="006E4D14">
        <w:fldChar w:fldCharType="end"/>
      </w:r>
    </w:p>
    <w:p w:rsidR="00DE05C4" w:rsidRDefault="00DE05C4">
      <w:pPr>
        <w:widowControl/>
        <w:jc w:val="center"/>
        <w:rPr>
          <w:rFonts w:ascii="Times New Roman" w:hAnsi="Times New Roman" w:cs="Times New Roman"/>
          <w:b/>
          <w:bCs/>
        </w:rPr>
      </w:pPr>
    </w:p>
    <w:p w:rsidR="00DE05C4" w:rsidRDefault="00DE05C4">
      <w:pPr>
        <w:widowControl/>
        <w:jc w:val="center"/>
        <w:rPr>
          <w:rFonts w:ascii="Times New Roman" w:hAnsi="Times New Roman" w:cs="Times New Roman"/>
          <w:b/>
          <w:bCs/>
        </w:rPr>
      </w:pPr>
    </w:p>
    <w:p w:rsidR="00DE05C4" w:rsidRDefault="006E4D14">
      <w:pPr>
        <w:widowControl/>
        <w:jc w:val="center"/>
        <w:rPr>
          <w:rFonts w:ascii="Times New Roman" w:hAnsi="Times New Roman" w:cs="Times New Roman"/>
          <w:b/>
          <w:bCs/>
        </w:rPr>
      </w:pPr>
      <w:r>
        <w:rPr>
          <w:rFonts w:ascii="Times New Roman" w:hAnsi="Times New Roman" w:cs="Times New Roman"/>
          <w:b/>
          <w:bCs/>
        </w:rPr>
        <w:t xml:space="preserve"> </w:t>
      </w:r>
    </w:p>
    <w:p w:rsidR="00DE05C4" w:rsidRDefault="006E4D14">
      <w:pPr>
        <w:pStyle w:val="RedTitre"/>
        <w:framePr w:wrap="auto"/>
        <w:widowControl/>
      </w:pPr>
      <w:r>
        <w:t xml:space="preserve"> MARCHE PUBLIC DE TECHNIQUES DE L'INFORMATION ET DE LA COMMUNICATION </w:t>
      </w:r>
    </w:p>
    <w:p w:rsidR="00DE05C4" w:rsidRDefault="00DE05C4">
      <w:pPr>
        <w:widowControl/>
        <w:jc w:val="center"/>
        <w:rPr>
          <w:rFonts w:ascii="Times New Roman" w:hAnsi="Times New Roman" w:cs="Times New Roman"/>
          <w:b/>
          <w:bCs/>
        </w:rPr>
      </w:pPr>
    </w:p>
    <w:p w:rsidR="00DE05C4" w:rsidRDefault="00DE05C4">
      <w:pPr>
        <w:widowControl/>
        <w:jc w:val="center"/>
        <w:rPr>
          <w:rFonts w:ascii="Times New Roman" w:hAnsi="Times New Roman" w:cs="Times New Roman"/>
          <w:b/>
          <w:bCs/>
        </w:rPr>
      </w:pPr>
    </w:p>
    <w:p w:rsidR="00DE05C4" w:rsidRDefault="00DE05C4">
      <w:pPr>
        <w:widowControl/>
        <w:jc w:val="center"/>
        <w:rPr>
          <w:rFonts w:ascii="Times New Roman" w:hAnsi="Times New Roman" w:cs="Times New Roman"/>
          <w:b/>
          <w:bCs/>
        </w:rPr>
      </w:pPr>
    </w:p>
    <w:p w:rsidR="00DE05C4" w:rsidRDefault="00DE05C4">
      <w:pPr>
        <w:widowControl/>
        <w:jc w:val="center"/>
        <w:rPr>
          <w:rFonts w:ascii="Times New Roman" w:hAnsi="Times New Roman" w:cs="Times New Roman"/>
          <w:b/>
          <w:bCs/>
        </w:rPr>
      </w:pPr>
    </w:p>
    <w:p w:rsidR="00DE05C4" w:rsidRDefault="006E4D14">
      <w:pPr>
        <w:pStyle w:val="RedNomDoc"/>
        <w:widowControl/>
      </w:pPr>
      <w:r>
        <w:t xml:space="preserve">REGLEMENT DE LA CONSULTATION </w:t>
      </w:r>
    </w:p>
    <w:p w:rsidR="00DE05C4" w:rsidRDefault="00DE05C4">
      <w:pPr>
        <w:widowControl/>
        <w:jc w:val="center"/>
        <w:rPr>
          <w:rFonts w:ascii="Times New Roman" w:hAnsi="Times New Roman" w:cs="Times New Roman"/>
          <w:b/>
          <w:bCs/>
        </w:rPr>
      </w:pPr>
    </w:p>
    <w:p w:rsidR="00DE05C4" w:rsidRDefault="00DE05C4">
      <w:pPr>
        <w:widowControl/>
        <w:jc w:val="center"/>
        <w:rPr>
          <w:rFonts w:ascii="Times New Roman" w:hAnsi="Times New Roman" w:cs="Times New Roman"/>
          <w:b/>
          <w:bCs/>
        </w:rPr>
      </w:pPr>
    </w:p>
    <w:p w:rsidR="00DE05C4" w:rsidRDefault="00DE05C4">
      <w:pPr>
        <w:widowControl/>
        <w:jc w:val="center"/>
        <w:rPr>
          <w:rFonts w:ascii="Times New Roman" w:hAnsi="Times New Roman" w:cs="Times New Roman"/>
          <w:b/>
          <w:bCs/>
        </w:rPr>
      </w:pPr>
    </w:p>
    <w:p w:rsidR="00DE05C4" w:rsidRDefault="00DE05C4">
      <w:pPr>
        <w:widowControl/>
        <w:jc w:val="center"/>
        <w:rPr>
          <w:rFonts w:ascii="Times New Roman" w:hAnsi="Times New Roman" w:cs="Times New Roman"/>
          <w:b/>
          <w:bCs/>
        </w:rPr>
      </w:pPr>
    </w:p>
    <w:p w:rsidR="00DE05C4" w:rsidRDefault="006E4D14">
      <w:pPr>
        <w:pStyle w:val="RedTitre"/>
        <w:framePr w:wrap="auto"/>
        <w:widowControl/>
      </w:pPr>
      <w:r>
        <w:t xml:space="preserve"> </w:t>
      </w:r>
    </w:p>
    <w:p w:rsidR="00DE05C4" w:rsidRDefault="00DE05C4">
      <w:pPr>
        <w:widowControl/>
        <w:jc w:val="center"/>
        <w:rPr>
          <w:rFonts w:ascii="Times New Roman" w:hAnsi="Times New Roman" w:cs="Times New Roman"/>
          <w:b/>
          <w:bCs/>
        </w:rPr>
      </w:pPr>
    </w:p>
    <w:p w:rsidR="00DE05C4" w:rsidRDefault="00DE05C4">
      <w:pPr>
        <w:widowControl/>
        <w:jc w:val="center"/>
        <w:rPr>
          <w:rFonts w:ascii="Times New Roman" w:hAnsi="Times New Roman" w:cs="Times New Roman"/>
          <w:b/>
          <w:bCs/>
        </w:rPr>
      </w:pPr>
    </w:p>
    <w:p w:rsidR="00DE05C4" w:rsidRDefault="00DE05C4">
      <w:pPr>
        <w:widowControl/>
        <w:jc w:val="center"/>
        <w:rPr>
          <w:rFonts w:ascii="Times New Roman" w:hAnsi="Times New Roman" w:cs="Times New Roman"/>
          <w:b/>
          <w:bCs/>
        </w:rPr>
      </w:pPr>
    </w:p>
    <w:p w:rsidR="00DE05C4" w:rsidRDefault="00DE05C4">
      <w:pPr>
        <w:widowControl/>
        <w:jc w:val="center"/>
        <w:rPr>
          <w:rFonts w:ascii="Times New Roman" w:hAnsi="Times New Roman" w:cs="Times New Roman"/>
          <w:b/>
          <w:bCs/>
        </w:rPr>
      </w:pPr>
    </w:p>
    <w:p w:rsidR="00DE05C4" w:rsidRDefault="006E4D14">
      <w:pPr>
        <w:pStyle w:val="RedTitre1"/>
        <w:keepNext/>
        <w:framePr w:wrap="auto"/>
        <w:widowControl/>
        <w:shd w:val="pct5" w:color="auto" w:fill="auto"/>
      </w:pPr>
      <w:r>
        <w:t>L'entité adjudicatrice : SOCIETE D'EXPLOITATION DES PORTS DU DETROIT</w:t>
      </w:r>
    </w:p>
    <w:p w:rsidR="00DE05C4" w:rsidRDefault="00DE05C4">
      <w:pPr>
        <w:pStyle w:val="RedTitre1"/>
        <w:keepNext/>
        <w:framePr w:wrap="auto"/>
        <w:widowControl/>
        <w:shd w:val="pct5" w:color="auto" w:fill="auto"/>
      </w:pPr>
    </w:p>
    <w:p w:rsidR="00DE05C4" w:rsidRDefault="006E4D14">
      <w:pPr>
        <w:pStyle w:val="RedTitre1"/>
        <w:keepNext/>
        <w:framePr w:wrap="auto"/>
        <w:widowControl/>
        <w:shd w:val="pct5" w:color="auto" w:fill="auto"/>
      </w:pPr>
      <w:r>
        <w:t>SOCIETE D'EXPLOITATION</w:t>
      </w:r>
    </w:p>
    <w:p w:rsidR="00DE05C4" w:rsidRDefault="006E4D14">
      <w:pPr>
        <w:pStyle w:val="RedTitre1"/>
        <w:keepNext/>
        <w:framePr w:wrap="auto"/>
        <w:widowControl/>
        <w:shd w:val="pct5" w:color="auto" w:fill="auto"/>
      </w:pPr>
      <w:r>
        <w:t>DES PORTS DU DETROIT</w:t>
      </w:r>
    </w:p>
    <w:p w:rsidR="00DE05C4" w:rsidRDefault="006E4D14">
      <w:pPr>
        <w:pStyle w:val="RedTitre1"/>
        <w:keepNext/>
        <w:framePr w:wrap="auto"/>
        <w:widowControl/>
        <w:shd w:val="pct5" w:color="auto" w:fill="auto"/>
      </w:pPr>
      <w:r>
        <w:t>Port de</w:t>
      </w:r>
      <w:r w:rsidR="00434F20">
        <w:t xml:space="preserve"> Boulogne</w:t>
      </w:r>
      <w:r>
        <w:t xml:space="preserve"> Calais </w:t>
      </w:r>
    </w:p>
    <w:p w:rsidR="00DE05C4" w:rsidRDefault="006E4D14">
      <w:pPr>
        <w:pStyle w:val="RedTitre1"/>
        <w:keepNext/>
        <w:framePr w:wrap="auto"/>
        <w:widowControl/>
        <w:shd w:val="pct5" w:color="auto" w:fill="auto"/>
      </w:pPr>
      <w:r>
        <w:t>24bd des Alliés</w:t>
      </w:r>
    </w:p>
    <w:p w:rsidR="00DE05C4" w:rsidRDefault="006E4D14">
      <w:pPr>
        <w:pStyle w:val="RedTitre1"/>
        <w:keepNext/>
        <w:framePr w:wrap="auto"/>
        <w:widowControl/>
        <w:shd w:val="pct5" w:color="auto" w:fill="auto"/>
      </w:pPr>
      <w:r>
        <w:t>CS90283</w:t>
      </w:r>
    </w:p>
    <w:p w:rsidR="00DE05C4" w:rsidRDefault="006E4D14">
      <w:pPr>
        <w:pStyle w:val="RedTitre1"/>
        <w:keepNext/>
        <w:framePr w:wrap="auto"/>
        <w:widowControl/>
        <w:shd w:val="pct5" w:color="auto" w:fill="auto"/>
      </w:pPr>
      <w:r>
        <w:t>62105 CALAIS CEDEX</w:t>
      </w:r>
    </w:p>
    <w:p w:rsidR="00DE05C4" w:rsidRDefault="00DE05C4">
      <w:pPr>
        <w:pStyle w:val="RedTitre1"/>
        <w:keepNext/>
        <w:framePr w:wrap="auto"/>
        <w:widowControl/>
        <w:shd w:val="pct5" w:color="auto" w:fill="auto"/>
      </w:pPr>
    </w:p>
    <w:p w:rsidR="00DE05C4" w:rsidRDefault="00DE05C4">
      <w:pPr>
        <w:pStyle w:val="RedTitre1"/>
        <w:keepNext/>
        <w:framePr w:wrap="auto"/>
        <w:widowControl/>
        <w:shd w:val="pct5" w:color="auto" w:fill="auto"/>
      </w:pPr>
    </w:p>
    <w:p w:rsidR="00DE05C4" w:rsidRDefault="00DE05C4">
      <w:pPr>
        <w:pStyle w:val="RedTitre1"/>
        <w:keepNext/>
        <w:framePr w:wrap="auto"/>
        <w:widowControl/>
        <w:shd w:val="pct5" w:color="auto" w:fill="auto"/>
      </w:pPr>
    </w:p>
    <w:p w:rsidR="00DE05C4" w:rsidRDefault="006E4D14">
      <w:pPr>
        <w:pStyle w:val="RedTitre1"/>
        <w:keepNext/>
        <w:framePr w:wrap="auto"/>
        <w:widowControl/>
        <w:shd w:val="pct5" w:color="auto" w:fill="auto"/>
      </w:pPr>
      <w:r>
        <w:t>_______________________________________________________________________</w:t>
      </w:r>
    </w:p>
    <w:p w:rsidR="00DE05C4" w:rsidRDefault="00DE05C4">
      <w:pPr>
        <w:pStyle w:val="RedTitre1"/>
        <w:keepNext/>
        <w:framePr w:wrap="auto"/>
        <w:widowControl/>
        <w:shd w:val="pct5" w:color="auto" w:fill="auto"/>
      </w:pPr>
    </w:p>
    <w:p w:rsidR="00DE05C4" w:rsidRDefault="006E4D14">
      <w:pPr>
        <w:pStyle w:val="RedTitre1"/>
        <w:keepNext/>
        <w:framePr w:wrap="auto"/>
        <w:widowControl/>
        <w:shd w:val="pct5" w:color="auto" w:fill="auto"/>
      </w:pPr>
      <w:r>
        <w:t xml:space="preserve">Renouvellement de la maintenance </w:t>
      </w:r>
      <w:proofErr w:type="spellStart"/>
      <w:r>
        <w:t>antispam</w:t>
      </w:r>
      <w:proofErr w:type="spellEnd"/>
      <w:r w:rsidR="00434F20">
        <w:t xml:space="preserve"> </w:t>
      </w:r>
    </w:p>
    <w:p w:rsidR="00DE05C4" w:rsidRDefault="006E4D14">
      <w:pPr>
        <w:pStyle w:val="RedTitre1"/>
        <w:keepNext/>
        <w:framePr w:wrap="auto"/>
        <w:widowControl/>
        <w:shd w:val="pct5" w:color="auto" w:fill="auto"/>
      </w:pPr>
      <w:r>
        <w:t>_______________________________________________________________________</w:t>
      </w:r>
    </w:p>
    <w:p w:rsidR="00DE05C4" w:rsidRDefault="00DE05C4">
      <w:pPr>
        <w:pStyle w:val="RedTitre1"/>
        <w:keepNext/>
        <w:framePr w:wrap="auto"/>
        <w:widowControl/>
        <w:shd w:val="pct5" w:color="auto" w:fill="auto"/>
      </w:pPr>
    </w:p>
    <w:p w:rsidR="00DE05C4" w:rsidRDefault="00DE05C4">
      <w:pPr>
        <w:pStyle w:val="RedTitre1"/>
        <w:keepNext/>
        <w:framePr w:wrap="auto"/>
        <w:widowControl/>
        <w:shd w:val="pct5" w:color="auto" w:fill="auto"/>
      </w:pPr>
    </w:p>
    <w:p w:rsidR="00DE05C4" w:rsidRDefault="006E4D14">
      <w:pPr>
        <w:pStyle w:val="RedTitre1"/>
        <w:keepNext/>
        <w:framePr w:wrap="auto"/>
        <w:widowControl/>
        <w:shd w:val="pct5" w:color="auto" w:fill="auto"/>
      </w:pPr>
      <w:r>
        <w:t xml:space="preserve">Procédure adaptée en application de </w:t>
      </w:r>
      <w:proofErr w:type="gramStart"/>
      <w:r>
        <w:t>l'(</w:t>
      </w:r>
      <w:proofErr w:type="gramEnd"/>
      <w:r>
        <w:t>des) articles 27 et 22 du Décret n°2016-360 du 25 mars 2016 relatif aux marchés publics.</w:t>
      </w:r>
    </w:p>
    <w:p w:rsidR="00DE05C4" w:rsidRDefault="00DE05C4">
      <w:pPr>
        <w:pStyle w:val="RedTitre1"/>
        <w:keepNext/>
        <w:framePr w:wrap="auto"/>
        <w:widowControl/>
        <w:shd w:val="pct5" w:color="auto" w:fill="auto"/>
      </w:pPr>
    </w:p>
    <w:p w:rsidR="00DE05C4" w:rsidRDefault="006E4D14">
      <w:pPr>
        <w:pStyle w:val="RedTitre1"/>
        <w:keepNext/>
        <w:framePr w:wrap="auto"/>
        <w:widowControl/>
        <w:shd w:val="pct5" w:color="auto" w:fill="auto"/>
      </w:pPr>
      <w:r>
        <w:t xml:space="preserve">Date et heure limites de remise des offres : 20-02-2017 à 16:00 </w:t>
      </w:r>
    </w:p>
    <w:p w:rsidR="00DE05C4" w:rsidRDefault="006E4D14">
      <w:pPr>
        <w:pStyle w:val="RedNomDoc"/>
        <w:keepNext/>
        <w:widowControl/>
      </w:pPr>
      <w:r>
        <w:rPr>
          <w:rFonts w:ascii="Times New Roman" w:hAnsi="Times New Roman" w:cs="Times New Roman"/>
        </w:rPr>
        <w:br w:type="page"/>
      </w:r>
      <w:r>
        <w:lastRenderedPageBreak/>
        <w:t xml:space="preserve">REGLEMENT DE LA CONSULTATION </w:t>
      </w:r>
    </w:p>
    <w:p w:rsidR="00DE05C4" w:rsidRDefault="00DE05C4">
      <w:pPr>
        <w:keepNext/>
        <w:widowControl/>
        <w:rPr>
          <w:rFonts w:ascii="Times New Roman" w:hAnsi="Times New Roman" w:cs="Times New Roman"/>
        </w:rPr>
      </w:pPr>
    </w:p>
    <w:p w:rsidR="00DE05C4" w:rsidRDefault="00DE05C4">
      <w:pPr>
        <w:keepNext/>
        <w:widowControl/>
        <w:rPr>
          <w:rFonts w:ascii="Times New Roman" w:hAnsi="Times New Roman" w:cs="Times New Roman"/>
        </w:rPr>
      </w:pPr>
    </w:p>
    <w:p w:rsidR="00DE05C4" w:rsidRDefault="00DE05C4">
      <w:pPr>
        <w:keepNext/>
        <w:widowControl/>
        <w:rPr>
          <w:rFonts w:ascii="Times New Roman" w:hAnsi="Times New Roman" w:cs="Times New Roman"/>
        </w:rPr>
      </w:pPr>
    </w:p>
    <w:p w:rsidR="00DE05C4" w:rsidRDefault="006E4D14">
      <w:pPr>
        <w:keepNext/>
        <w:widowControl/>
        <w:jc w:val="center"/>
        <w:rPr>
          <w:b/>
          <w:bCs/>
          <w:sz w:val="28"/>
          <w:szCs w:val="28"/>
        </w:rPr>
      </w:pPr>
      <w:r>
        <w:rPr>
          <w:b/>
          <w:bCs/>
          <w:sz w:val="28"/>
          <w:szCs w:val="28"/>
        </w:rPr>
        <w:t>SOMMAIRE</w:t>
      </w:r>
    </w:p>
    <w:p w:rsidR="00DE05C4" w:rsidRDefault="00DE05C4">
      <w:pPr>
        <w:keepNext/>
        <w:widowControl/>
        <w:jc w:val="center"/>
        <w:rPr>
          <w:b/>
          <w:bCs/>
          <w:sz w:val="28"/>
          <w:szCs w:val="28"/>
        </w:rPr>
      </w:pPr>
    </w:p>
    <w:p w:rsidR="00DE05C4" w:rsidRDefault="00DE05C4">
      <w:pPr>
        <w:keepNext/>
        <w:widowControl/>
        <w:rPr>
          <w:rFonts w:ascii="Times New Roman" w:hAnsi="Times New Roman" w:cs="Times New Roman"/>
        </w:rPr>
      </w:pPr>
    </w:p>
    <w:p w:rsidR="00DE05C4" w:rsidRDefault="00DE05C4">
      <w:pPr>
        <w:keepNext/>
        <w:widowControl/>
        <w:rPr>
          <w:rFonts w:ascii="Times New Roman" w:hAnsi="Times New Roman" w:cs="Times New Roman"/>
        </w:rPr>
      </w:pPr>
    </w:p>
    <w:p w:rsidR="00DE05C4" w:rsidRDefault="006E4D14">
      <w:pPr>
        <w:rPr>
          <w:sz w:val="24"/>
          <w:szCs w:val="24"/>
        </w:rPr>
      </w:pPr>
      <w:r>
        <w:rPr>
          <w:sz w:val="24"/>
          <w:szCs w:val="24"/>
        </w:rPr>
        <w:t>1. - Acheteur</w:t>
      </w:r>
    </w:p>
    <w:p w:rsidR="00DE05C4" w:rsidRDefault="006E4D14">
      <w:pPr>
        <w:rPr>
          <w:sz w:val="24"/>
          <w:szCs w:val="24"/>
        </w:rPr>
      </w:pPr>
      <w:r>
        <w:rPr>
          <w:sz w:val="24"/>
          <w:szCs w:val="24"/>
        </w:rPr>
        <w:t>2. - Objet de la consultation</w:t>
      </w:r>
    </w:p>
    <w:p w:rsidR="00DE05C4" w:rsidRDefault="006E4D14">
      <w:pPr>
        <w:rPr>
          <w:sz w:val="24"/>
          <w:szCs w:val="24"/>
        </w:rPr>
      </w:pPr>
      <w:r>
        <w:rPr>
          <w:sz w:val="24"/>
          <w:szCs w:val="24"/>
        </w:rPr>
        <w:t xml:space="preserve">    2.1. - Objet du contrat</w:t>
      </w:r>
    </w:p>
    <w:p w:rsidR="00DE05C4" w:rsidRDefault="006E4D14">
      <w:pPr>
        <w:rPr>
          <w:sz w:val="24"/>
          <w:szCs w:val="24"/>
        </w:rPr>
      </w:pPr>
      <w:r>
        <w:rPr>
          <w:sz w:val="24"/>
          <w:szCs w:val="24"/>
        </w:rPr>
        <w:t xml:space="preserve">    2.2. - Procédure de passation</w:t>
      </w:r>
    </w:p>
    <w:p w:rsidR="00DE05C4" w:rsidRDefault="006E4D14">
      <w:pPr>
        <w:rPr>
          <w:sz w:val="24"/>
          <w:szCs w:val="24"/>
        </w:rPr>
      </w:pPr>
      <w:r>
        <w:rPr>
          <w:sz w:val="24"/>
          <w:szCs w:val="24"/>
        </w:rPr>
        <w:t xml:space="preserve">    2.3. - Forme du contrat</w:t>
      </w:r>
    </w:p>
    <w:p w:rsidR="00DE05C4" w:rsidRDefault="006E4D14">
      <w:pPr>
        <w:rPr>
          <w:sz w:val="24"/>
          <w:szCs w:val="24"/>
        </w:rPr>
      </w:pPr>
      <w:r>
        <w:rPr>
          <w:sz w:val="24"/>
          <w:szCs w:val="24"/>
        </w:rPr>
        <w:t>3. - Dispositions générales</w:t>
      </w:r>
    </w:p>
    <w:p w:rsidR="00DE05C4" w:rsidRDefault="006E4D14">
      <w:pPr>
        <w:rPr>
          <w:sz w:val="24"/>
          <w:szCs w:val="24"/>
        </w:rPr>
      </w:pPr>
      <w:r>
        <w:rPr>
          <w:sz w:val="24"/>
          <w:szCs w:val="24"/>
        </w:rPr>
        <w:t xml:space="preserve">    3.1. - Décomposition du contrat</w:t>
      </w:r>
    </w:p>
    <w:p w:rsidR="00DE05C4" w:rsidRDefault="006E4D14">
      <w:pPr>
        <w:rPr>
          <w:sz w:val="24"/>
          <w:szCs w:val="24"/>
        </w:rPr>
      </w:pPr>
      <w:r>
        <w:rPr>
          <w:sz w:val="24"/>
          <w:szCs w:val="24"/>
        </w:rPr>
        <w:t xml:space="preserve">    3.2. - Durée du contrat - délais d'exécution</w:t>
      </w:r>
    </w:p>
    <w:p w:rsidR="00DE05C4" w:rsidRDefault="006E4D14">
      <w:pPr>
        <w:rPr>
          <w:sz w:val="24"/>
          <w:szCs w:val="24"/>
        </w:rPr>
      </w:pPr>
      <w:r>
        <w:rPr>
          <w:sz w:val="24"/>
          <w:szCs w:val="24"/>
        </w:rPr>
        <w:t xml:space="preserve">    3.3. - Modalités de financement et de paiement</w:t>
      </w:r>
    </w:p>
    <w:p w:rsidR="00DE05C4" w:rsidRDefault="006E4D14">
      <w:pPr>
        <w:rPr>
          <w:sz w:val="24"/>
          <w:szCs w:val="24"/>
        </w:rPr>
      </w:pPr>
      <w:r>
        <w:rPr>
          <w:sz w:val="24"/>
          <w:szCs w:val="24"/>
        </w:rPr>
        <w:t xml:space="preserve">    3.4. - Forme juridique de l'attributaire</w:t>
      </w:r>
    </w:p>
    <w:p w:rsidR="00DE05C4" w:rsidRDefault="006E4D14">
      <w:pPr>
        <w:rPr>
          <w:sz w:val="24"/>
          <w:szCs w:val="24"/>
        </w:rPr>
      </w:pPr>
      <w:r>
        <w:rPr>
          <w:sz w:val="24"/>
          <w:szCs w:val="24"/>
        </w:rPr>
        <w:t xml:space="preserve">    3.5. - Délai de validité des propositions</w:t>
      </w:r>
    </w:p>
    <w:p w:rsidR="00DE05C4" w:rsidRDefault="006E4D14">
      <w:pPr>
        <w:rPr>
          <w:sz w:val="24"/>
          <w:szCs w:val="24"/>
        </w:rPr>
      </w:pPr>
      <w:r>
        <w:rPr>
          <w:sz w:val="24"/>
          <w:szCs w:val="24"/>
        </w:rPr>
        <w:t xml:space="preserve">    3.6. - Variantes et prestations supplémentaires éventuelles (options)</w:t>
      </w:r>
    </w:p>
    <w:p w:rsidR="00DE05C4" w:rsidRDefault="006E4D14">
      <w:pPr>
        <w:rPr>
          <w:sz w:val="24"/>
          <w:szCs w:val="24"/>
        </w:rPr>
      </w:pPr>
      <w:r>
        <w:rPr>
          <w:sz w:val="24"/>
          <w:szCs w:val="24"/>
        </w:rPr>
        <w:t xml:space="preserve">    3.7. - Autres dispositions</w:t>
      </w:r>
    </w:p>
    <w:p w:rsidR="00DE05C4" w:rsidRDefault="006E4D14">
      <w:pPr>
        <w:rPr>
          <w:sz w:val="24"/>
          <w:szCs w:val="24"/>
        </w:rPr>
      </w:pPr>
      <w:r>
        <w:rPr>
          <w:sz w:val="24"/>
          <w:szCs w:val="24"/>
        </w:rPr>
        <w:t>4. - Dossier de consultation</w:t>
      </w:r>
    </w:p>
    <w:p w:rsidR="00DE05C4" w:rsidRDefault="006E4D14">
      <w:pPr>
        <w:rPr>
          <w:sz w:val="24"/>
          <w:szCs w:val="24"/>
        </w:rPr>
      </w:pPr>
      <w:r>
        <w:rPr>
          <w:sz w:val="24"/>
          <w:szCs w:val="24"/>
        </w:rPr>
        <w:t xml:space="preserve">    4.1. - Contenu du dossier de consultation</w:t>
      </w:r>
    </w:p>
    <w:p w:rsidR="00DE05C4" w:rsidRDefault="006E4D14">
      <w:pPr>
        <w:rPr>
          <w:sz w:val="24"/>
          <w:szCs w:val="24"/>
        </w:rPr>
      </w:pPr>
      <w:r>
        <w:rPr>
          <w:sz w:val="24"/>
          <w:szCs w:val="24"/>
        </w:rPr>
        <w:t xml:space="preserve">    4.2. - Mise à disposition du dossier de consultation par voie électronique</w:t>
      </w:r>
    </w:p>
    <w:p w:rsidR="00DE05C4" w:rsidRDefault="006E4D14">
      <w:pPr>
        <w:rPr>
          <w:sz w:val="24"/>
          <w:szCs w:val="24"/>
        </w:rPr>
      </w:pPr>
      <w:r>
        <w:rPr>
          <w:sz w:val="24"/>
          <w:szCs w:val="24"/>
        </w:rPr>
        <w:t xml:space="preserve">    4.3. - Modification de détail au dossier de consultation</w:t>
      </w:r>
    </w:p>
    <w:p w:rsidR="00DE05C4" w:rsidRDefault="006E4D14">
      <w:pPr>
        <w:rPr>
          <w:sz w:val="24"/>
          <w:szCs w:val="24"/>
        </w:rPr>
      </w:pPr>
      <w:r>
        <w:rPr>
          <w:sz w:val="24"/>
          <w:szCs w:val="24"/>
        </w:rPr>
        <w:t xml:space="preserve">    4.4. - Visite des lieux et consultation de documents sur site </w:t>
      </w:r>
    </w:p>
    <w:p w:rsidR="00DE05C4" w:rsidRDefault="006E4D14">
      <w:pPr>
        <w:rPr>
          <w:sz w:val="24"/>
          <w:szCs w:val="24"/>
        </w:rPr>
      </w:pPr>
      <w:r>
        <w:rPr>
          <w:sz w:val="24"/>
          <w:szCs w:val="24"/>
        </w:rPr>
        <w:t>5. - Présentation des propositions</w:t>
      </w:r>
    </w:p>
    <w:p w:rsidR="00DE05C4" w:rsidRDefault="006E4D14">
      <w:pPr>
        <w:rPr>
          <w:sz w:val="24"/>
          <w:szCs w:val="24"/>
        </w:rPr>
      </w:pPr>
      <w:r>
        <w:rPr>
          <w:sz w:val="24"/>
          <w:szCs w:val="24"/>
        </w:rPr>
        <w:t xml:space="preserve">    5.1. - Documents à produire</w:t>
      </w:r>
    </w:p>
    <w:p w:rsidR="00DE05C4" w:rsidRDefault="006E4D14">
      <w:pPr>
        <w:rPr>
          <w:sz w:val="24"/>
          <w:szCs w:val="24"/>
        </w:rPr>
      </w:pPr>
      <w:r>
        <w:rPr>
          <w:sz w:val="24"/>
          <w:szCs w:val="24"/>
        </w:rPr>
        <w:t xml:space="preserve">    5.2. - Compléments à apporter au cahier des charges</w:t>
      </w:r>
    </w:p>
    <w:p w:rsidR="00DE05C4" w:rsidRDefault="006E4D14">
      <w:pPr>
        <w:rPr>
          <w:sz w:val="24"/>
          <w:szCs w:val="24"/>
        </w:rPr>
      </w:pPr>
      <w:r>
        <w:rPr>
          <w:sz w:val="24"/>
          <w:szCs w:val="24"/>
        </w:rPr>
        <w:t xml:space="preserve">    5.3. - Langue de rédaction des propositions</w:t>
      </w:r>
    </w:p>
    <w:p w:rsidR="00DE05C4" w:rsidRDefault="006E4D14">
      <w:pPr>
        <w:rPr>
          <w:sz w:val="24"/>
          <w:szCs w:val="24"/>
        </w:rPr>
      </w:pPr>
      <w:r>
        <w:rPr>
          <w:sz w:val="24"/>
          <w:szCs w:val="24"/>
        </w:rPr>
        <w:t xml:space="preserve">    5.4. - Unité monétaire</w:t>
      </w:r>
    </w:p>
    <w:p w:rsidR="00DE05C4" w:rsidRDefault="006E4D14">
      <w:pPr>
        <w:rPr>
          <w:sz w:val="24"/>
          <w:szCs w:val="24"/>
        </w:rPr>
      </w:pPr>
      <w:r>
        <w:rPr>
          <w:sz w:val="24"/>
          <w:szCs w:val="24"/>
        </w:rPr>
        <w:t xml:space="preserve">    5.5. -Conditions d'envoi ou de remise des plis</w:t>
      </w:r>
    </w:p>
    <w:p w:rsidR="00DE05C4" w:rsidRDefault="006E4D14">
      <w:pPr>
        <w:rPr>
          <w:sz w:val="24"/>
          <w:szCs w:val="24"/>
        </w:rPr>
      </w:pPr>
      <w:r>
        <w:rPr>
          <w:sz w:val="24"/>
          <w:szCs w:val="24"/>
        </w:rPr>
        <w:t xml:space="preserve">    5.6. -Négociation</w:t>
      </w:r>
    </w:p>
    <w:p w:rsidR="00DE05C4" w:rsidRDefault="006E4D14">
      <w:pPr>
        <w:rPr>
          <w:sz w:val="24"/>
          <w:szCs w:val="24"/>
        </w:rPr>
      </w:pPr>
      <w:r>
        <w:rPr>
          <w:sz w:val="24"/>
          <w:szCs w:val="24"/>
        </w:rPr>
        <w:t>6. - Jugement des propositions</w:t>
      </w:r>
    </w:p>
    <w:p w:rsidR="00DE05C4" w:rsidRDefault="006E4D14">
      <w:pPr>
        <w:rPr>
          <w:sz w:val="24"/>
          <w:szCs w:val="24"/>
        </w:rPr>
      </w:pPr>
      <w:r>
        <w:rPr>
          <w:sz w:val="24"/>
          <w:szCs w:val="24"/>
        </w:rPr>
        <w:t xml:space="preserve">7. - Renseignements complémentaires </w:t>
      </w:r>
    </w:p>
    <w:p w:rsidR="00DE05C4" w:rsidRDefault="00DE05C4">
      <w:pPr>
        <w:pStyle w:val="RedLiRub"/>
        <w:widowControl/>
      </w:pPr>
    </w:p>
    <w:p w:rsidR="00DE05C4" w:rsidRDefault="00DE05C4">
      <w:pPr>
        <w:widowControl/>
        <w:rPr>
          <w:rFonts w:ascii="Times New Roman" w:hAnsi="Times New Roman" w:cs="Times New Roman"/>
        </w:rPr>
      </w:pPr>
    </w:p>
    <w:p w:rsidR="00DE05C4" w:rsidRDefault="006E4D14">
      <w:pPr>
        <w:widowControl/>
        <w:rPr>
          <w:rFonts w:ascii="Times New Roman" w:hAnsi="Times New Roman" w:cs="Times New Roman"/>
        </w:rPr>
      </w:pPr>
      <w:r>
        <w:rPr>
          <w:rFonts w:ascii="Times New Roman" w:hAnsi="Times New Roman" w:cs="Times New Roman"/>
        </w:rPr>
        <w:br w:type="page"/>
      </w:r>
    </w:p>
    <w:p w:rsidR="00DE05C4" w:rsidRDefault="006E4D14">
      <w:pPr>
        <w:pStyle w:val="RedTitre2"/>
        <w:pBdr>
          <w:top w:val="none" w:sz="0" w:space="0" w:color="auto"/>
          <w:left w:val="none" w:sz="0" w:space="0" w:color="auto"/>
          <w:bottom w:val="none" w:sz="0" w:space="0" w:color="auto"/>
          <w:right w:val="none" w:sz="0" w:space="0" w:color="auto"/>
        </w:pBdr>
        <w:shd w:val="pct5" w:color="auto" w:fill="auto"/>
        <w:spacing w:after="120"/>
      </w:pPr>
      <w:r>
        <w:lastRenderedPageBreak/>
        <w:t>Article  1 - Acheteur</w:t>
      </w:r>
    </w:p>
    <w:p w:rsidR="00DE05C4" w:rsidRDefault="006E4D14">
      <w:pPr>
        <w:pStyle w:val="RedTxt"/>
        <w:jc w:val="both"/>
        <w:rPr>
          <w:sz w:val="20"/>
          <w:szCs w:val="20"/>
        </w:rPr>
      </w:pPr>
      <w:r>
        <w:rPr>
          <w:b/>
          <w:bCs/>
          <w:sz w:val="20"/>
          <w:szCs w:val="20"/>
          <w:u w:val="single"/>
        </w:rPr>
        <w:t>L'entité adjudicatrice</w:t>
      </w:r>
      <w:r>
        <w:rPr>
          <w:sz w:val="20"/>
          <w:szCs w:val="20"/>
        </w:rPr>
        <w:t xml:space="preserve"> : SOCIETE D'EXPLOITATION DES PORTS DU DETROIT</w:t>
      </w:r>
    </w:p>
    <w:p w:rsidR="00DE05C4" w:rsidRDefault="006E4D14">
      <w:pPr>
        <w:pStyle w:val="RedTxt"/>
        <w:jc w:val="both"/>
        <w:rPr>
          <w:sz w:val="20"/>
          <w:szCs w:val="20"/>
        </w:rPr>
      </w:pPr>
      <w:r>
        <w:rPr>
          <w:sz w:val="20"/>
          <w:szCs w:val="20"/>
        </w:rPr>
        <w:t>SOCIETE D'EXPLOITATION</w:t>
      </w:r>
    </w:p>
    <w:p w:rsidR="00DE05C4" w:rsidRDefault="006E4D14">
      <w:pPr>
        <w:pStyle w:val="RedTxt"/>
        <w:jc w:val="both"/>
        <w:rPr>
          <w:sz w:val="20"/>
          <w:szCs w:val="20"/>
        </w:rPr>
      </w:pPr>
      <w:r>
        <w:rPr>
          <w:sz w:val="20"/>
          <w:szCs w:val="20"/>
        </w:rPr>
        <w:t>DES PORTS DU DETROIT</w:t>
      </w:r>
    </w:p>
    <w:p w:rsidR="00DE05C4" w:rsidRDefault="006E4D14">
      <w:pPr>
        <w:pStyle w:val="RedTxt"/>
        <w:jc w:val="both"/>
        <w:rPr>
          <w:sz w:val="20"/>
          <w:szCs w:val="20"/>
        </w:rPr>
      </w:pPr>
      <w:r>
        <w:rPr>
          <w:sz w:val="20"/>
          <w:szCs w:val="20"/>
        </w:rPr>
        <w:t xml:space="preserve">Port de </w:t>
      </w:r>
      <w:r w:rsidR="00434F20">
        <w:rPr>
          <w:sz w:val="20"/>
          <w:szCs w:val="20"/>
        </w:rPr>
        <w:t xml:space="preserve">Boulogne </w:t>
      </w:r>
      <w:r>
        <w:rPr>
          <w:sz w:val="20"/>
          <w:szCs w:val="20"/>
        </w:rPr>
        <w:t xml:space="preserve">Calais </w:t>
      </w:r>
    </w:p>
    <w:p w:rsidR="00DE05C4" w:rsidRDefault="006E4D14">
      <w:pPr>
        <w:pStyle w:val="RedTxt"/>
        <w:jc w:val="both"/>
        <w:rPr>
          <w:sz w:val="20"/>
          <w:szCs w:val="20"/>
        </w:rPr>
      </w:pPr>
      <w:r>
        <w:rPr>
          <w:sz w:val="20"/>
          <w:szCs w:val="20"/>
        </w:rPr>
        <w:t>24bd des Alliés</w:t>
      </w:r>
    </w:p>
    <w:p w:rsidR="00DE05C4" w:rsidRDefault="006E4D14">
      <w:pPr>
        <w:pStyle w:val="RedTxt"/>
        <w:jc w:val="both"/>
        <w:rPr>
          <w:sz w:val="20"/>
          <w:szCs w:val="20"/>
        </w:rPr>
      </w:pPr>
      <w:r>
        <w:rPr>
          <w:sz w:val="20"/>
          <w:szCs w:val="20"/>
        </w:rPr>
        <w:t>CS90283</w:t>
      </w:r>
    </w:p>
    <w:p w:rsidR="00DE05C4" w:rsidRDefault="006E4D14">
      <w:pPr>
        <w:pStyle w:val="RedTxt"/>
        <w:jc w:val="both"/>
        <w:rPr>
          <w:sz w:val="20"/>
          <w:szCs w:val="20"/>
        </w:rPr>
      </w:pPr>
      <w:r>
        <w:rPr>
          <w:sz w:val="20"/>
          <w:szCs w:val="20"/>
        </w:rPr>
        <w:t>62105 CALAIS CEDEX</w:t>
      </w:r>
    </w:p>
    <w:p w:rsidR="00DE05C4" w:rsidRDefault="00DE05C4">
      <w:pPr>
        <w:pStyle w:val="RedTxt"/>
        <w:jc w:val="both"/>
        <w:rPr>
          <w:sz w:val="20"/>
          <w:szCs w:val="20"/>
        </w:rPr>
      </w:pPr>
    </w:p>
    <w:p w:rsidR="00DE05C4" w:rsidRDefault="006E4D14">
      <w:pPr>
        <w:pStyle w:val="RedTxt"/>
        <w:jc w:val="both"/>
        <w:rPr>
          <w:sz w:val="20"/>
          <w:szCs w:val="20"/>
        </w:rPr>
      </w:pPr>
      <w:r>
        <w:rPr>
          <w:sz w:val="20"/>
          <w:szCs w:val="20"/>
        </w:rPr>
        <w:t>Téléphone : 03 21 46 29 00</w:t>
      </w:r>
    </w:p>
    <w:p w:rsidR="00DE05C4" w:rsidRDefault="006E4D14">
      <w:pPr>
        <w:pStyle w:val="RedTxt"/>
        <w:jc w:val="both"/>
        <w:rPr>
          <w:sz w:val="20"/>
          <w:szCs w:val="20"/>
        </w:rPr>
      </w:pPr>
      <w:r>
        <w:rPr>
          <w:sz w:val="20"/>
          <w:szCs w:val="20"/>
        </w:rPr>
        <w:t>Télécopie : 03 21 46 29 30</w:t>
      </w:r>
    </w:p>
    <w:p w:rsidR="00DE05C4" w:rsidRDefault="006E4D14">
      <w:pPr>
        <w:pStyle w:val="RedTxt"/>
        <w:jc w:val="both"/>
        <w:rPr>
          <w:sz w:val="20"/>
          <w:szCs w:val="20"/>
        </w:rPr>
      </w:pPr>
      <w:r>
        <w:rPr>
          <w:sz w:val="20"/>
          <w:szCs w:val="20"/>
        </w:rPr>
        <w:t>Site internet : http://www.</w:t>
      </w:r>
      <w:r w:rsidR="00434F20">
        <w:rPr>
          <w:sz w:val="20"/>
          <w:szCs w:val="20"/>
        </w:rPr>
        <w:t>portboulognecalais</w:t>
      </w:r>
      <w:r>
        <w:rPr>
          <w:sz w:val="20"/>
          <w:szCs w:val="20"/>
        </w:rPr>
        <w:t>.fr</w:t>
      </w:r>
    </w:p>
    <w:p w:rsidR="00DE05C4" w:rsidRDefault="00DE05C4">
      <w:pPr>
        <w:pStyle w:val="RedTxt"/>
        <w:jc w:val="both"/>
        <w:rPr>
          <w:sz w:val="20"/>
          <w:szCs w:val="20"/>
        </w:rPr>
      </w:pPr>
    </w:p>
    <w:p w:rsidR="00DE05C4" w:rsidRDefault="006E4D14">
      <w:pPr>
        <w:pStyle w:val="RedTxt"/>
        <w:jc w:val="both"/>
        <w:rPr>
          <w:sz w:val="20"/>
          <w:szCs w:val="20"/>
        </w:rPr>
      </w:pPr>
      <w:r>
        <w:rPr>
          <w:b/>
          <w:bCs/>
          <w:sz w:val="20"/>
          <w:szCs w:val="20"/>
          <w:u w:val="single"/>
        </w:rPr>
        <w:t>Maître d'</w:t>
      </w:r>
      <w:proofErr w:type="spellStart"/>
      <w:r>
        <w:rPr>
          <w:b/>
          <w:bCs/>
          <w:sz w:val="20"/>
          <w:szCs w:val="20"/>
          <w:u w:val="single"/>
        </w:rPr>
        <w:t>oeuvre</w:t>
      </w:r>
      <w:proofErr w:type="spellEnd"/>
      <w:r>
        <w:rPr>
          <w:b/>
          <w:bCs/>
          <w:sz w:val="20"/>
          <w:szCs w:val="20"/>
          <w:u w:val="single"/>
        </w:rPr>
        <w:t xml:space="preserve"> : </w:t>
      </w:r>
    </w:p>
    <w:p w:rsidR="00DE05C4" w:rsidRDefault="006E4D14">
      <w:pPr>
        <w:pStyle w:val="RedTxt"/>
        <w:jc w:val="both"/>
      </w:pPr>
      <w:r>
        <w:rPr>
          <w:sz w:val="20"/>
          <w:szCs w:val="20"/>
        </w:rPr>
        <w:t>Société d'Exploitation des Ports du Détroit</w:t>
      </w:r>
    </w:p>
    <w:p w:rsidR="00DE05C4" w:rsidRDefault="006E4D14">
      <w:pPr>
        <w:pStyle w:val="RedTitre2"/>
        <w:pBdr>
          <w:top w:val="none" w:sz="0" w:space="0" w:color="auto"/>
          <w:left w:val="none" w:sz="0" w:space="0" w:color="auto"/>
          <w:bottom w:val="none" w:sz="0" w:space="0" w:color="auto"/>
          <w:right w:val="none" w:sz="0" w:space="0" w:color="auto"/>
        </w:pBdr>
        <w:shd w:val="pct5" w:color="auto" w:fill="auto"/>
        <w:spacing w:after="120"/>
      </w:pPr>
      <w:r>
        <w:t>Article  2 - Objet de la consultation</w:t>
      </w:r>
    </w:p>
    <w:p w:rsidR="00DE05C4" w:rsidRDefault="006E4D14">
      <w:pPr>
        <w:pStyle w:val="RedPara"/>
        <w:spacing w:after="120"/>
        <w:ind w:firstLine="709"/>
      </w:pPr>
      <w:r>
        <w:t>2-1-Objet du contrat</w:t>
      </w:r>
    </w:p>
    <w:p w:rsidR="00DE05C4" w:rsidRDefault="006E4D14">
      <w:pPr>
        <w:pStyle w:val="RedTxt"/>
        <w:jc w:val="both"/>
        <w:rPr>
          <w:sz w:val="20"/>
          <w:szCs w:val="20"/>
        </w:rPr>
      </w:pPr>
      <w:r>
        <w:rPr>
          <w:sz w:val="20"/>
          <w:szCs w:val="20"/>
        </w:rPr>
        <w:t>La consultation porte sur les prestations suivantes :</w:t>
      </w:r>
    </w:p>
    <w:p w:rsidR="00DE05C4" w:rsidRDefault="006E4D14">
      <w:pPr>
        <w:pStyle w:val="RedTxt"/>
        <w:jc w:val="both"/>
        <w:rPr>
          <w:sz w:val="20"/>
          <w:szCs w:val="20"/>
        </w:rPr>
      </w:pPr>
      <w:r>
        <w:rPr>
          <w:sz w:val="20"/>
          <w:szCs w:val="20"/>
        </w:rPr>
        <w:t xml:space="preserve">Renouvellement de la maintenance </w:t>
      </w:r>
      <w:proofErr w:type="spellStart"/>
      <w:r>
        <w:rPr>
          <w:sz w:val="20"/>
          <w:szCs w:val="20"/>
        </w:rPr>
        <w:t>antispam</w:t>
      </w:r>
      <w:proofErr w:type="spellEnd"/>
      <w:r w:rsidR="00434F20">
        <w:rPr>
          <w:sz w:val="20"/>
          <w:szCs w:val="20"/>
        </w:rPr>
        <w:t xml:space="preserve"> </w:t>
      </w:r>
    </w:p>
    <w:p w:rsidR="00DE05C4" w:rsidRDefault="00DE05C4">
      <w:pPr>
        <w:pStyle w:val="RedTxt"/>
        <w:jc w:val="both"/>
        <w:rPr>
          <w:sz w:val="20"/>
          <w:szCs w:val="20"/>
        </w:rPr>
      </w:pPr>
    </w:p>
    <w:p w:rsidR="00434F20" w:rsidRDefault="006E4D14">
      <w:pPr>
        <w:pStyle w:val="RedTxt"/>
        <w:jc w:val="both"/>
        <w:rPr>
          <w:sz w:val="20"/>
          <w:szCs w:val="20"/>
        </w:rPr>
      </w:pPr>
      <w:r>
        <w:rPr>
          <w:sz w:val="20"/>
          <w:szCs w:val="20"/>
        </w:rPr>
        <w:t>A titre indicatif, les prestations seront e</w:t>
      </w:r>
      <w:r w:rsidR="00434F20">
        <w:rPr>
          <w:sz w:val="20"/>
          <w:szCs w:val="20"/>
        </w:rPr>
        <w:t>xécutées à partir du 10-07-2017pour le lot n°1 et le 25/04/2017 pour le lot n°2</w:t>
      </w:r>
    </w:p>
    <w:p w:rsidR="00434F20" w:rsidRDefault="00434F20">
      <w:pPr>
        <w:pStyle w:val="RedTxt"/>
        <w:jc w:val="both"/>
      </w:pPr>
    </w:p>
    <w:p w:rsidR="00DE05C4" w:rsidRDefault="006E4D14">
      <w:pPr>
        <w:pStyle w:val="RedPara"/>
        <w:spacing w:after="120"/>
        <w:ind w:firstLine="709"/>
      </w:pPr>
      <w:r>
        <w:t>2-2-Procédure de passation</w:t>
      </w:r>
    </w:p>
    <w:p w:rsidR="00DE05C4" w:rsidRDefault="006E4D14">
      <w:pPr>
        <w:pStyle w:val="RedTxt"/>
        <w:jc w:val="both"/>
      </w:pPr>
      <w:r>
        <w:rPr>
          <w:sz w:val="20"/>
          <w:szCs w:val="20"/>
        </w:rPr>
        <w:t>La consultation est passée par Procédure adaptée en application de l' (des) articles 27 et 22 du Décret n°2016-360 du 25 mars 2016 relatif aux marchés publics.</w:t>
      </w:r>
    </w:p>
    <w:p w:rsidR="00DE05C4" w:rsidRDefault="006E4D14">
      <w:pPr>
        <w:pStyle w:val="RedPara"/>
        <w:spacing w:after="120"/>
        <w:ind w:firstLine="709"/>
      </w:pPr>
      <w:r>
        <w:t>2-3-Forme du contrat</w:t>
      </w:r>
    </w:p>
    <w:p w:rsidR="00DE05C4" w:rsidRDefault="006E4D14">
      <w:pPr>
        <w:pStyle w:val="RedTxt"/>
        <w:jc w:val="both"/>
      </w:pPr>
      <w:r>
        <w:rPr>
          <w:sz w:val="20"/>
          <w:szCs w:val="20"/>
        </w:rPr>
        <w:t>La consultation donnera lieu à un marché ordinaire.</w:t>
      </w:r>
    </w:p>
    <w:p w:rsidR="00DE05C4" w:rsidRDefault="006E4D14">
      <w:pPr>
        <w:pStyle w:val="RedTitre2"/>
        <w:pBdr>
          <w:top w:val="none" w:sz="0" w:space="0" w:color="auto"/>
          <w:left w:val="none" w:sz="0" w:space="0" w:color="auto"/>
          <w:bottom w:val="none" w:sz="0" w:space="0" w:color="auto"/>
          <w:right w:val="none" w:sz="0" w:space="0" w:color="auto"/>
        </w:pBdr>
        <w:shd w:val="pct5" w:color="auto" w:fill="auto"/>
        <w:spacing w:after="120"/>
      </w:pPr>
      <w:r>
        <w:t>Article  3 - Dispositions générales</w:t>
      </w:r>
    </w:p>
    <w:p w:rsidR="00DE05C4" w:rsidRDefault="006E4D14">
      <w:pPr>
        <w:pStyle w:val="RedPara"/>
        <w:spacing w:after="120"/>
        <w:ind w:firstLine="709"/>
      </w:pPr>
      <w:r>
        <w:t>3-1-Décomposition du contrat</w:t>
      </w:r>
    </w:p>
    <w:p w:rsidR="00DE05C4" w:rsidRDefault="006E4D14">
      <w:pPr>
        <w:pStyle w:val="RedRub"/>
        <w:spacing w:after="120"/>
        <w:ind w:left="709" w:firstLine="709"/>
        <w:rPr>
          <w:rFonts w:ascii="Times New Roman" w:hAnsi="Times New Roman" w:cs="Times New Roman"/>
        </w:rPr>
      </w:pPr>
      <w:r>
        <w:rPr>
          <w:sz w:val="20"/>
          <w:szCs w:val="20"/>
        </w:rPr>
        <w:t>3-1-1-Lots</w:t>
      </w:r>
    </w:p>
    <w:p w:rsidR="00DE05C4" w:rsidRDefault="006E4D14">
      <w:pPr>
        <w:pStyle w:val="RedTxt"/>
        <w:jc w:val="both"/>
        <w:rPr>
          <w:sz w:val="20"/>
          <w:szCs w:val="20"/>
        </w:rPr>
      </w:pPr>
      <w:r>
        <w:rPr>
          <w:sz w:val="20"/>
          <w:szCs w:val="20"/>
        </w:rPr>
        <w:t>Le marché est décomposé en 2 lots définis comme suit :</w:t>
      </w:r>
    </w:p>
    <w:p w:rsidR="00DE05C4" w:rsidRDefault="00DE05C4">
      <w:pPr>
        <w:pStyle w:val="RedTxt"/>
        <w:jc w:val="both"/>
        <w:rPr>
          <w:sz w:val="20"/>
          <w:szCs w:val="20"/>
        </w:rPr>
      </w:pPr>
    </w:p>
    <w:p w:rsidR="00174E57" w:rsidRDefault="00174E57" w:rsidP="00174E57">
      <w:pPr>
        <w:pStyle w:val="RedTxt"/>
        <w:jc w:val="both"/>
        <w:rPr>
          <w:sz w:val="20"/>
          <w:szCs w:val="20"/>
        </w:rPr>
      </w:pPr>
      <w:r>
        <w:rPr>
          <w:sz w:val="20"/>
          <w:szCs w:val="20"/>
        </w:rPr>
        <w:t>Lot n°1 : Renouvellement de la maintenance Barracuda VPN SSL modèle 380 comprenant l’</w:t>
      </w:r>
      <w:proofErr w:type="spellStart"/>
      <w:r>
        <w:rPr>
          <w:sz w:val="20"/>
          <w:szCs w:val="20"/>
        </w:rPr>
        <w:t>energize</w:t>
      </w:r>
      <w:proofErr w:type="spellEnd"/>
      <w:r>
        <w:rPr>
          <w:sz w:val="20"/>
          <w:szCs w:val="20"/>
        </w:rPr>
        <w:t xml:space="preserve"> Update et l’instant replacement.</w:t>
      </w:r>
    </w:p>
    <w:p w:rsidR="00174E57" w:rsidRDefault="00174E57" w:rsidP="00174E57">
      <w:pPr>
        <w:pStyle w:val="RedTxt"/>
        <w:jc w:val="both"/>
        <w:rPr>
          <w:sz w:val="20"/>
          <w:szCs w:val="20"/>
        </w:rPr>
      </w:pPr>
    </w:p>
    <w:p w:rsidR="00174E57" w:rsidRPr="00D95379" w:rsidRDefault="00174E57" w:rsidP="00174E57">
      <w:pPr>
        <w:pStyle w:val="RedTxt"/>
        <w:jc w:val="both"/>
        <w:rPr>
          <w:rFonts w:ascii="Times New Roman" w:hAnsi="Times New Roman" w:cs="Times New Roman"/>
          <w:sz w:val="24"/>
          <w:szCs w:val="24"/>
        </w:rPr>
      </w:pPr>
      <w:r>
        <w:rPr>
          <w:sz w:val="20"/>
          <w:szCs w:val="20"/>
        </w:rPr>
        <w:t xml:space="preserve">Lot n°2 : Renouvellement de la maintenance Barracuda Email Security Gateway modèle V300 – avec mise à jour du software (courriers indésirables, logiciels espions, attaques virales), la mise à jour des catégories de filtre de contenu et des listes web, ainsi que la mise à jour du </w:t>
      </w:r>
      <w:proofErr w:type="spellStart"/>
      <w:r>
        <w:rPr>
          <w:sz w:val="20"/>
          <w:szCs w:val="20"/>
        </w:rPr>
        <w:t>firmware</w:t>
      </w:r>
      <w:proofErr w:type="spellEnd"/>
      <w:r>
        <w:rPr>
          <w:sz w:val="20"/>
          <w:szCs w:val="20"/>
        </w:rPr>
        <w:t xml:space="preserve">. </w:t>
      </w:r>
    </w:p>
    <w:p w:rsidR="00DE05C4" w:rsidRDefault="00DE05C4">
      <w:pPr>
        <w:pStyle w:val="RedTxt"/>
        <w:jc w:val="both"/>
        <w:rPr>
          <w:sz w:val="20"/>
          <w:szCs w:val="20"/>
        </w:rPr>
      </w:pPr>
    </w:p>
    <w:p w:rsidR="00DE05C4" w:rsidRDefault="006E4D14">
      <w:pPr>
        <w:pStyle w:val="RedTxt"/>
        <w:jc w:val="both"/>
      </w:pPr>
      <w:r>
        <w:rPr>
          <w:sz w:val="20"/>
          <w:szCs w:val="20"/>
        </w:rPr>
        <w:t>Les candidatures peuvent concerner un ou plusieurs lots. Les candidats doivent présenter une offre distincte pour chaque lot auquel ils répondent.</w:t>
      </w:r>
    </w:p>
    <w:p w:rsidR="00DE05C4" w:rsidRDefault="006E4D14">
      <w:pPr>
        <w:pStyle w:val="RedRub"/>
        <w:spacing w:after="120"/>
        <w:ind w:left="709" w:firstLine="709"/>
        <w:rPr>
          <w:rFonts w:ascii="Times New Roman" w:hAnsi="Times New Roman" w:cs="Times New Roman"/>
        </w:rPr>
      </w:pPr>
      <w:r>
        <w:rPr>
          <w:sz w:val="20"/>
          <w:szCs w:val="20"/>
        </w:rPr>
        <w:t>3-1-2-Tranches</w:t>
      </w:r>
    </w:p>
    <w:p w:rsidR="00DE05C4" w:rsidRDefault="006E4D14">
      <w:pPr>
        <w:pStyle w:val="RedTxt"/>
        <w:jc w:val="both"/>
      </w:pPr>
      <w:r>
        <w:rPr>
          <w:sz w:val="20"/>
          <w:szCs w:val="20"/>
        </w:rPr>
        <w:t>Il n'est pas prévu de décomposition en tranches.</w:t>
      </w:r>
    </w:p>
    <w:p w:rsidR="00DE05C4" w:rsidRDefault="006E4D14">
      <w:pPr>
        <w:pStyle w:val="RedRub"/>
        <w:spacing w:after="120"/>
        <w:ind w:left="709" w:firstLine="709"/>
        <w:rPr>
          <w:rFonts w:ascii="Times New Roman" w:hAnsi="Times New Roman" w:cs="Times New Roman"/>
        </w:rPr>
      </w:pPr>
      <w:r>
        <w:rPr>
          <w:sz w:val="20"/>
          <w:szCs w:val="20"/>
        </w:rPr>
        <w:t>3-1-3-Phases</w:t>
      </w:r>
    </w:p>
    <w:p w:rsidR="00DE05C4" w:rsidRDefault="006E4D14">
      <w:pPr>
        <w:pStyle w:val="RedTxt"/>
        <w:jc w:val="both"/>
      </w:pPr>
      <w:r>
        <w:rPr>
          <w:sz w:val="20"/>
          <w:szCs w:val="20"/>
        </w:rPr>
        <w:t>Il n'est pas prévu de décomposition en phases.</w:t>
      </w:r>
    </w:p>
    <w:p w:rsidR="00DE05C4" w:rsidRDefault="006E4D14">
      <w:pPr>
        <w:pStyle w:val="RedPara"/>
        <w:spacing w:after="120"/>
        <w:ind w:firstLine="709"/>
      </w:pPr>
      <w:r>
        <w:t>3-2-Durée du contrat - Délai d'exécution</w:t>
      </w:r>
    </w:p>
    <w:p w:rsidR="00DE05C4" w:rsidRDefault="006E4D14">
      <w:pPr>
        <w:pStyle w:val="RedTxt"/>
        <w:jc w:val="both"/>
        <w:rPr>
          <w:sz w:val="20"/>
          <w:szCs w:val="20"/>
        </w:rPr>
      </w:pPr>
      <w:r>
        <w:rPr>
          <w:sz w:val="20"/>
          <w:szCs w:val="20"/>
        </w:rPr>
        <w:t xml:space="preserve">La durée du marché est fixée à </w:t>
      </w:r>
      <w:r w:rsidR="00434F20">
        <w:rPr>
          <w:sz w:val="20"/>
          <w:szCs w:val="20"/>
        </w:rPr>
        <w:t>4</w:t>
      </w:r>
      <w:r>
        <w:rPr>
          <w:sz w:val="20"/>
          <w:szCs w:val="20"/>
        </w:rPr>
        <w:t xml:space="preserve"> An(s) </w:t>
      </w:r>
      <w:r w:rsidR="00174E57">
        <w:rPr>
          <w:sz w:val="20"/>
          <w:szCs w:val="20"/>
        </w:rPr>
        <w:t>à partir de la date démarrage ci-dessous.</w:t>
      </w:r>
    </w:p>
    <w:p w:rsidR="00DE05C4" w:rsidRDefault="00DE05C4">
      <w:pPr>
        <w:pStyle w:val="RedTxt"/>
        <w:jc w:val="both"/>
      </w:pPr>
    </w:p>
    <w:p w:rsidR="00DE05C4" w:rsidRDefault="006E4D14">
      <w:pPr>
        <w:pStyle w:val="RedTxt"/>
        <w:jc w:val="both"/>
        <w:rPr>
          <w:sz w:val="20"/>
          <w:szCs w:val="20"/>
        </w:rPr>
      </w:pPr>
      <w:r>
        <w:rPr>
          <w:sz w:val="20"/>
          <w:szCs w:val="20"/>
        </w:rPr>
        <w:lastRenderedPageBreak/>
        <w:t>Le délai d'exécution des prestations est fixé par l'entité adjudicatrice dans les conditions ci-après.</w:t>
      </w:r>
    </w:p>
    <w:p w:rsidR="00434F20" w:rsidRDefault="00434F20">
      <w:pPr>
        <w:pStyle w:val="RedTxt"/>
        <w:jc w:val="both"/>
        <w:rPr>
          <w:sz w:val="20"/>
          <w:szCs w:val="20"/>
        </w:rPr>
      </w:pPr>
    </w:p>
    <w:p w:rsidR="00DE05C4" w:rsidRDefault="006E4D14">
      <w:pPr>
        <w:pStyle w:val="RedTxt"/>
        <w:jc w:val="both"/>
        <w:rPr>
          <w:sz w:val="20"/>
          <w:szCs w:val="20"/>
        </w:rPr>
      </w:pPr>
      <w:r>
        <w:rPr>
          <w:sz w:val="20"/>
          <w:szCs w:val="20"/>
        </w:rPr>
        <w:t>Le délai d'exécution des prestations court à compter de la notification du</w:t>
      </w:r>
      <w:r w:rsidR="00434F20">
        <w:rPr>
          <w:sz w:val="20"/>
          <w:szCs w:val="20"/>
        </w:rPr>
        <w:t xml:space="preserve"> marché et est fixé comme suit : </w:t>
      </w:r>
    </w:p>
    <w:p w:rsidR="00DE05C4" w:rsidRPr="00174E57" w:rsidRDefault="006E4D14">
      <w:pPr>
        <w:pStyle w:val="RedTxt"/>
        <w:jc w:val="both"/>
        <w:rPr>
          <w:sz w:val="20"/>
          <w:szCs w:val="20"/>
        </w:rPr>
      </w:pPr>
      <w:r w:rsidRPr="00174E57">
        <w:rPr>
          <w:sz w:val="20"/>
          <w:szCs w:val="20"/>
        </w:rPr>
        <w:t>Lot n° 1</w:t>
      </w:r>
      <w:r w:rsidR="00174E57" w:rsidRPr="00174E57">
        <w:rPr>
          <w:sz w:val="20"/>
          <w:szCs w:val="20"/>
        </w:rPr>
        <w:t xml:space="preserve"> </w:t>
      </w:r>
      <w:r w:rsidRPr="00174E57">
        <w:rPr>
          <w:sz w:val="20"/>
          <w:szCs w:val="20"/>
        </w:rPr>
        <w:t xml:space="preserve">: 4 an(s) </w:t>
      </w:r>
      <w:r w:rsidR="00174E57" w:rsidRPr="00174E57">
        <w:rPr>
          <w:sz w:val="20"/>
          <w:szCs w:val="20"/>
        </w:rPr>
        <w:t>à partir du 10/07/2017</w:t>
      </w:r>
      <w:r w:rsidRPr="00174E57">
        <w:rPr>
          <w:sz w:val="20"/>
          <w:szCs w:val="20"/>
        </w:rPr>
        <w:t xml:space="preserve"> </w:t>
      </w:r>
    </w:p>
    <w:p w:rsidR="00DE05C4" w:rsidRPr="00174E57" w:rsidRDefault="006E4D14">
      <w:pPr>
        <w:pStyle w:val="RedTxt"/>
        <w:jc w:val="both"/>
      </w:pPr>
      <w:r w:rsidRPr="00174E57">
        <w:rPr>
          <w:sz w:val="20"/>
          <w:szCs w:val="20"/>
        </w:rPr>
        <w:t>Lot n° 2 : 4 an(s)</w:t>
      </w:r>
      <w:r w:rsidR="00174E57" w:rsidRPr="00174E57">
        <w:rPr>
          <w:sz w:val="20"/>
          <w:szCs w:val="20"/>
        </w:rPr>
        <w:t xml:space="preserve"> à partir du 25/04/2017</w:t>
      </w:r>
    </w:p>
    <w:p w:rsidR="00DE05C4" w:rsidRDefault="006E4D14">
      <w:pPr>
        <w:pStyle w:val="RedPara"/>
        <w:spacing w:after="120"/>
        <w:ind w:firstLine="709"/>
      </w:pPr>
      <w:r>
        <w:t>3-3-Modalités de financement et de paiement</w:t>
      </w:r>
    </w:p>
    <w:p w:rsidR="00DE05C4" w:rsidRDefault="006E4D14">
      <w:pPr>
        <w:pStyle w:val="RedTxt"/>
        <w:jc w:val="both"/>
      </w:pPr>
      <w:r>
        <w:rPr>
          <w:sz w:val="20"/>
          <w:szCs w:val="20"/>
        </w:rPr>
        <w:t>Le règlement des dépenses se fera par virement bancaire. Financement sur fonds propres de la concession portuaire</w:t>
      </w:r>
    </w:p>
    <w:p w:rsidR="00DE05C4" w:rsidRDefault="006E4D14">
      <w:pPr>
        <w:pStyle w:val="RedPara"/>
        <w:spacing w:after="120"/>
        <w:ind w:firstLine="709"/>
      </w:pPr>
      <w:r>
        <w:t>3-4-Forme juridique de l'attributaire</w:t>
      </w:r>
    </w:p>
    <w:p w:rsidR="00DE05C4" w:rsidRDefault="006E4D14">
      <w:pPr>
        <w:pStyle w:val="RedTxt"/>
        <w:jc w:val="both"/>
        <w:rPr>
          <w:sz w:val="20"/>
          <w:szCs w:val="20"/>
        </w:rPr>
      </w:pPr>
      <w:r>
        <w:rPr>
          <w:sz w:val="20"/>
          <w:szCs w:val="20"/>
        </w:rPr>
        <w:t>Aucune forme de groupement n'est imposée par l'entité adjudicatrice.</w:t>
      </w:r>
    </w:p>
    <w:p w:rsidR="00DE05C4" w:rsidRDefault="00DE05C4">
      <w:pPr>
        <w:pStyle w:val="RedTxt"/>
        <w:jc w:val="both"/>
      </w:pPr>
    </w:p>
    <w:p w:rsidR="00DE05C4" w:rsidRDefault="006E4D14">
      <w:pPr>
        <w:pStyle w:val="RedPara"/>
        <w:spacing w:after="120"/>
        <w:ind w:firstLine="709"/>
      </w:pPr>
      <w:r>
        <w:t>3-5-Délai de validité des propositions</w:t>
      </w:r>
    </w:p>
    <w:p w:rsidR="00DE05C4" w:rsidRDefault="006E4D14">
      <w:pPr>
        <w:pStyle w:val="RedTxt"/>
        <w:jc w:val="both"/>
      </w:pPr>
      <w:r>
        <w:rPr>
          <w:sz w:val="20"/>
          <w:szCs w:val="20"/>
        </w:rPr>
        <w:t>Le délai de validité des propositions est de 120 jours à compter de la date limite fixée pour la réception des propositions.</w:t>
      </w:r>
    </w:p>
    <w:p w:rsidR="00DE05C4" w:rsidRDefault="006E4D14">
      <w:pPr>
        <w:pStyle w:val="RedPara"/>
        <w:spacing w:after="120"/>
        <w:ind w:firstLine="709"/>
      </w:pPr>
      <w:r>
        <w:t>3-6-Variantes et prestations supplémentaires éventuelles (options)</w:t>
      </w:r>
    </w:p>
    <w:p w:rsidR="00DE05C4" w:rsidRDefault="006E4D14">
      <w:pPr>
        <w:pStyle w:val="RedRub"/>
        <w:spacing w:after="120"/>
        <w:ind w:left="709" w:firstLine="709"/>
        <w:rPr>
          <w:rFonts w:ascii="Times New Roman" w:hAnsi="Times New Roman" w:cs="Times New Roman"/>
        </w:rPr>
      </w:pPr>
      <w:r>
        <w:rPr>
          <w:sz w:val="20"/>
          <w:szCs w:val="20"/>
        </w:rPr>
        <w:t>3-6-1-Variantes</w:t>
      </w:r>
    </w:p>
    <w:p w:rsidR="00DE05C4" w:rsidRDefault="006E4D14">
      <w:pPr>
        <w:pStyle w:val="RedTxt"/>
        <w:jc w:val="both"/>
      </w:pPr>
      <w:r>
        <w:rPr>
          <w:sz w:val="20"/>
          <w:szCs w:val="20"/>
        </w:rPr>
        <w:t>Les variantes par rapport à l'objet du marché ne sont pas autorisées.</w:t>
      </w:r>
    </w:p>
    <w:p w:rsidR="00DE05C4" w:rsidRDefault="006E4D14">
      <w:pPr>
        <w:pStyle w:val="RedRub"/>
        <w:spacing w:after="120"/>
        <w:ind w:left="709" w:firstLine="709"/>
        <w:rPr>
          <w:rFonts w:ascii="Times New Roman" w:hAnsi="Times New Roman" w:cs="Times New Roman"/>
        </w:rPr>
      </w:pPr>
      <w:r>
        <w:rPr>
          <w:sz w:val="20"/>
          <w:szCs w:val="20"/>
        </w:rPr>
        <w:t>3-6-2-Prestations supplémentaires éventuelles (options)</w:t>
      </w:r>
    </w:p>
    <w:p w:rsidR="00DE05C4" w:rsidRDefault="006E4D14">
      <w:pPr>
        <w:pStyle w:val="RedTxt"/>
        <w:jc w:val="both"/>
      </w:pPr>
      <w:r>
        <w:rPr>
          <w:sz w:val="20"/>
          <w:szCs w:val="20"/>
        </w:rPr>
        <w:t>Il n'est pas prévu d'option.</w:t>
      </w:r>
    </w:p>
    <w:p w:rsidR="00DE05C4" w:rsidRDefault="006E4D14">
      <w:pPr>
        <w:pStyle w:val="RedPara"/>
        <w:spacing w:after="120"/>
        <w:ind w:firstLine="709"/>
      </w:pPr>
      <w:r>
        <w:t>3-7-Autres dispositions</w:t>
      </w:r>
    </w:p>
    <w:p w:rsidR="00DE05C4" w:rsidRDefault="006E4D14">
      <w:pPr>
        <w:pStyle w:val="RedTxt"/>
        <w:jc w:val="both"/>
      </w:pPr>
      <w:r>
        <w:rPr>
          <w:sz w:val="20"/>
          <w:szCs w:val="20"/>
        </w:rPr>
        <w:t>Sans objet.</w:t>
      </w:r>
    </w:p>
    <w:p w:rsidR="00DE05C4" w:rsidRDefault="006E4D14">
      <w:pPr>
        <w:pStyle w:val="RedTitre2"/>
        <w:pBdr>
          <w:top w:val="none" w:sz="0" w:space="0" w:color="auto"/>
          <w:left w:val="none" w:sz="0" w:space="0" w:color="auto"/>
          <w:bottom w:val="none" w:sz="0" w:space="0" w:color="auto"/>
          <w:right w:val="none" w:sz="0" w:space="0" w:color="auto"/>
        </w:pBdr>
        <w:shd w:val="pct5" w:color="auto" w:fill="auto"/>
        <w:spacing w:after="120"/>
      </w:pPr>
      <w:r>
        <w:t>Article  4 - Dossier de consultation</w:t>
      </w:r>
    </w:p>
    <w:p w:rsidR="00DE05C4" w:rsidRDefault="006E4D14">
      <w:pPr>
        <w:pStyle w:val="RedPara"/>
        <w:spacing w:after="120"/>
        <w:ind w:firstLine="709"/>
      </w:pPr>
      <w:r>
        <w:t>4-1-Contenu du dossier de consultation</w:t>
      </w:r>
    </w:p>
    <w:p w:rsidR="00DE05C4" w:rsidRDefault="006E4D14">
      <w:pPr>
        <w:pStyle w:val="RedTxt"/>
        <w:jc w:val="both"/>
        <w:rPr>
          <w:sz w:val="20"/>
          <w:szCs w:val="20"/>
        </w:rPr>
      </w:pPr>
      <w:r>
        <w:rPr>
          <w:sz w:val="20"/>
          <w:szCs w:val="20"/>
        </w:rPr>
        <w:t>Le dossier de consultation comprend les documents suivants :</w:t>
      </w:r>
    </w:p>
    <w:p w:rsidR="00DE05C4" w:rsidRDefault="006E4D14">
      <w:pPr>
        <w:pStyle w:val="RedTxt"/>
        <w:jc w:val="both"/>
        <w:rPr>
          <w:sz w:val="20"/>
          <w:szCs w:val="20"/>
        </w:rPr>
      </w:pPr>
      <w:r>
        <w:rPr>
          <w:sz w:val="20"/>
          <w:szCs w:val="20"/>
        </w:rPr>
        <w:t>- le règlement de la consultation,</w:t>
      </w:r>
    </w:p>
    <w:p w:rsidR="00DE05C4" w:rsidRDefault="006E4D14">
      <w:pPr>
        <w:pStyle w:val="RedTxt"/>
        <w:jc w:val="both"/>
        <w:rPr>
          <w:sz w:val="20"/>
          <w:szCs w:val="20"/>
        </w:rPr>
      </w:pPr>
      <w:r>
        <w:rPr>
          <w:sz w:val="20"/>
          <w:szCs w:val="20"/>
        </w:rPr>
        <w:t>- l'acte d'engagement,</w:t>
      </w:r>
    </w:p>
    <w:p w:rsidR="00DE05C4" w:rsidRDefault="006E4D14">
      <w:pPr>
        <w:pStyle w:val="RedTxt"/>
        <w:jc w:val="both"/>
        <w:rPr>
          <w:sz w:val="20"/>
          <w:szCs w:val="20"/>
        </w:rPr>
      </w:pPr>
      <w:r>
        <w:rPr>
          <w:sz w:val="20"/>
          <w:szCs w:val="20"/>
        </w:rPr>
        <w:t>- le CCP,</w:t>
      </w:r>
    </w:p>
    <w:p w:rsidR="00DE05C4" w:rsidRDefault="00DE05C4">
      <w:pPr>
        <w:pStyle w:val="RedTxt"/>
        <w:jc w:val="both"/>
      </w:pPr>
    </w:p>
    <w:p w:rsidR="00DE05C4" w:rsidRDefault="006E4D14">
      <w:pPr>
        <w:pStyle w:val="RedPara"/>
        <w:spacing w:after="120"/>
        <w:ind w:firstLine="709"/>
      </w:pPr>
      <w:r>
        <w:t>4-2-Mise à disposition du dossier de consultation par voie électronique</w:t>
      </w:r>
    </w:p>
    <w:p w:rsidR="00434F20" w:rsidRDefault="00434F20" w:rsidP="00434F20">
      <w:pPr>
        <w:pStyle w:val="RedTxt"/>
        <w:jc w:val="both"/>
        <w:rPr>
          <w:sz w:val="20"/>
          <w:szCs w:val="20"/>
        </w:rPr>
      </w:pPr>
      <w:r>
        <w:rPr>
          <w:sz w:val="20"/>
          <w:szCs w:val="20"/>
        </w:rPr>
        <w:t>Conformément à l'article 39 du Décret n° 2016-360 du 25 mars 2016, l'entité adjudicatrice met à disposition le dossier de consultation par voie électronique, à l'adresse suivante : http://www.portboulognecalais.fr</w:t>
      </w:r>
    </w:p>
    <w:p w:rsidR="00434F20" w:rsidRDefault="00434F20" w:rsidP="00434F20">
      <w:pPr>
        <w:pStyle w:val="RedTxt"/>
        <w:jc w:val="both"/>
        <w:rPr>
          <w:sz w:val="20"/>
          <w:szCs w:val="20"/>
        </w:rPr>
      </w:pPr>
    </w:p>
    <w:p w:rsidR="00434F20" w:rsidRDefault="00434F20" w:rsidP="00434F20">
      <w:pPr>
        <w:pStyle w:val="RedTxt"/>
        <w:jc w:val="both"/>
        <w:rPr>
          <w:sz w:val="20"/>
          <w:szCs w:val="20"/>
        </w:rPr>
      </w:pPr>
      <w:r>
        <w:rPr>
          <w:sz w:val="20"/>
          <w:szCs w:val="20"/>
        </w:rPr>
        <w:t>Les soumissionnaires pourront s'authentifier sur le site et notamment indiquer une adresse courriel électronique permettant de façon certaine une correspondance électronique notamment pour l'envoi d'éventuels compléments, précisions ou rectifications.</w:t>
      </w:r>
    </w:p>
    <w:p w:rsidR="00DE05C4" w:rsidRDefault="006E4D14">
      <w:pPr>
        <w:pStyle w:val="RedPara"/>
        <w:spacing w:after="120"/>
        <w:ind w:firstLine="709"/>
      </w:pPr>
      <w:r>
        <w:t>4-3-Modification de détail au dossier de consultation</w:t>
      </w:r>
    </w:p>
    <w:p w:rsidR="00DE05C4" w:rsidRDefault="006E4D14">
      <w:pPr>
        <w:pStyle w:val="RedTxt"/>
        <w:jc w:val="both"/>
        <w:rPr>
          <w:sz w:val="20"/>
          <w:szCs w:val="20"/>
        </w:rPr>
      </w:pPr>
      <w:r>
        <w:rPr>
          <w:sz w:val="20"/>
          <w:szCs w:val="20"/>
        </w:rPr>
        <w:t xml:space="preserve">L'entité adjudicatrice se réserve la possibilité d'envoyer au plus tard </w:t>
      </w:r>
      <w:r w:rsidR="00174E57">
        <w:rPr>
          <w:sz w:val="20"/>
          <w:szCs w:val="20"/>
        </w:rPr>
        <w:t>3</w:t>
      </w:r>
      <w:r>
        <w:rPr>
          <w:sz w:val="20"/>
          <w:szCs w:val="20"/>
        </w:rPr>
        <w:t xml:space="preserve"> jours avant la date limite de remise des offres des modifications de détail sur le dossier de consultation.</w:t>
      </w:r>
    </w:p>
    <w:p w:rsidR="00DE05C4" w:rsidRDefault="00DE05C4">
      <w:pPr>
        <w:pStyle w:val="RedTxt"/>
        <w:jc w:val="both"/>
        <w:rPr>
          <w:sz w:val="20"/>
          <w:szCs w:val="20"/>
        </w:rPr>
      </w:pPr>
    </w:p>
    <w:p w:rsidR="00DE05C4" w:rsidRDefault="006E4D14">
      <w:pPr>
        <w:pStyle w:val="RedTxt"/>
        <w:jc w:val="both"/>
      </w:pPr>
      <w:r>
        <w:rPr>
          <w:sz w:val="20"/>
          <w:szCs w:val="20"/>
        </w:rPr>
        <w:t>Les candidats devront alors répondre sur la base du dossier de consultation modifié.</w:t>
      </w:r>
    </w:p>
    <w:p w:rsidR="00DE05C4" w:rsidRDefault="006E4D14">
      <w:pPr>
        <w:pStyle w:val="RedPara"/>
        <w:spacing w:after="120"/>
        <w:ind w:firstLine="709"/>
      </w:pPr>
      <w:r>
        <w:t>4-4-Visite des lieux et consultation de documents sur site</w:t>
      </w:r>
    </w:p>
    <w:p w:rsidR="00DE05C4" w:rsidRDefault="006E4D14">
      <w:pPr>
        <w:pStyle w:val="RedTxt"/>
        <w:jc w:val="both"/>
      </w:pPr>
      <w:r>
        <w:rPr>
          <w:sz w:val="20"/>
          <w:szCs w:val="20"/>
        </w:rPr>
        <w:t>Sans objet.</w:t>
      </w:r>
    </w:p>
    <w:p w:rsidR="00DE05C4" w:rsidRDefault="006E4D14">
      <w:pPr>
        <w:pStyle w:val="RedTitre2"/>
        <w:pBdr>
          <w:top w:val="none" w:sz="0" w:space="0" w:color="auto"/>
          <w:left w:val="none" w:sz="0" w:space="0" w:color="auto"/>
          <w:bottom w:val="none" w:sz="0" w:space="0" w:color="auto"/>
          <w:right w:val="none" w:sz="0" w:space="0" w:color="auto"/>
        </w:pBdr>
        <w:shd w:val="pct5" w:color="auto" w:fill="auto"/>
        <w:spacing w:after="120"/>
      </w:pPr>
      <w:r>
        <w:lastRenderedPageBreak/>
        <w:t>Article  5 - Présentation des propositions</w:t>
      </w:r>
    </w:p>
    <w:p w:rsidR="00DE05C4" w:rsidRDefault="006E4D14">
      <w:pPr>
        <w:pStyle w:val="RedPara"/>
        <w:spacing w:after="120"/>
        <w:ind w:firstLine="709"/>
      </w:pPr>
      <w:r>
        <w:t>5-1-Documents à produire</w:t>
      </w:r>
    </w:p>
    <w:p w:rsidR="00434F20" w:rsidRDefault="00434F20" w:rsidP="00434F20">
      <w:pPr>
        <w:pStyle w:val="RedTxt"/>
        <w:jc w:val="both"/>
        <w:rPr>
          <w:b/>
          <w:bCs/>
          <w:sz w:val="20"/>
          <w:szCs w:val="20"/>
          <w:u w:val="single"/>
        </w:rPr>
      </w:pPr>
      <w:r>
        <w:rPr>
          <w:b/>
          <w:bCs/>
          <w:sz w:val="20"/>
          <w:szCs w:val="20"/>
          <w:u w:val="single"/>
        </w:rPr>
        <w:t>Justificatifs candidature</w:t>
      </w:r>
    </w:p>
    <w:p w:rsidR="00434F20" w:rsidRDefault="00434F20" w:rsidP="00434F20">
      <w:pPr>
        <w:pStyle w:val="RedTxt"/>
        <w:jc w:val="both"/>
        <w:rPr>
          <w:sz w:val="20"/>
          <w:szCs w:val="20"/>
        </w:rPr>
      </w:pPr>
    </w:p>
    <w:p w:rsidR="00434F20" w:rsidRDefault="00434F20" w:rsidP="00434F20">
      <w:pPr>
        <w:pStyle w:val="RedTxt"/>
        <w:jc w:val="both"/>
        <w:rPr>
          <w:sz w:val="20"/>
          <w:szCs w:val="20"/>
        </w:rPr>
      </w:pPr>
      <w:r>
        <w:rPr>
          <w:sz w:val="20"/>
          <w:szCs w:val="20"/>
        </w:rPr>
        <w:t xml:space="preserve">Le dossier à remettre par chaque candidat comprendra les pièces suivantes :  </w:t>
      </w:r>
    </w:p>
    <w:p w:rsidR="00434F20" w:rsidRDefault="00434F20" w:rsidP="00434F20">
      <w:pPr>
        <w:pStyle w:val="RedTxt"/>
        <w:jc w:val="both"/>
        <w:rPr>
          <w:sz w:val="20"/>
          <w:szCs w:val="20"/>
        </w:rPr>
      </w:pPr>
    </w:p>
    <w:p w:rsidR="00434F20" w:rsidRDefault="00434F20" w:rsidP="00434F20">
      <w:pPr>
        <w:widowControl/>
        <w:numPr>
          <w:ilvl w:val="0"/>
          <w:numId w:val="3"/>
        </w:numPr>
      </w:pPr>
      <w:r w:rsidRPr="00D032A1">
        <w:t xml:space="preserve">Formulaire DC1 : lettre de candidature </w:t>
      </w:r>
      <w:r>
        <w:t xml:space="preserve">(imprimé disponible sur </w:t>
      </w:r>
      <w:hyperlink r:id="rId10" w:history="1">
        <w:r w:rsidRPr="005B568A">
          <w:rPr>
            <w:rStyle w:val="Lienhypertexte"/>
          </w:rPr>
          <w:t>http://www.economie.gouv.fr/daj/formulaires-declaration-candidat</w:t>
        </w:r>
      </w:hyperlink>
      <w:r>
        <w:t xml:space="preserve">) ; </w:t>
      </w:r>
    </w:p>
    <w:p w:rsidR="00434F20" w:rsidRPr="00D032A1" w:rsidRDefault="00434F20" w:rsidP="00434F20">
      <w:pPr>
        <w:ind w:left="720"/>
      </w:pPr>
      <w:proofErr w:type="gramStart"/>
      <w:r>
        <w:t>ou</w:t>
      </w:r>
      <w:proofErr w:type="gramEnd"/>
      <w:r>
        <w:t xml:space="preserve"> tout autre document de format libre, reprenant l’ensemble des informations et pièces justificatives indiquées dans le DC1 ;</w:t>
      </w:r>
    </w:p>
    <w:p w:rsidR="00434F20" w:rsidRPr="00D032A1" w:rsidRDefault="00434F20" w:rsidP="00434F20">
      <w:pPr>
        <w:ind w:left="720"/>
      </w:pPr>
    </w:p>
    <w:p w:rsidR="00434F20" w:rsidRDefault="00434F20" w:rsidP="00434F20">
      <w:pPr>
        <w:widowControl/>
        <w:numPr>
          <w:ilvl w:val="0"/>
          <w:numId w:val="3"/>
        </w:numPr>
      </w:pPr>
      <w:r w:rsidRPr="00D032A1">
        <w:t>Formulaire DC2 : déclaration du candidat</w:t>
      </w:r>
      <w:r w:rsidRPr="004A617F">
        <w:t xml:space="preserve"> </w:t>
      </w:r>
      <w:r>
        <w:t xml:space="preserve">imprimé disponible sur </w:t>
      </w:r>
      <w:hyperlink r:id="rId11" w:history="1">
        <w:r w:rsidRPr="005B568A">
          <w:rPr>
            <w:rStyle w:val="Lienhypertexte"/>
          </w:rPr>
          <w:t>http://www.economie.gouv.fr/daj/formulaires-declaration-candidat</w:t>
        </w:r>
      </w:hyperlink>
      <w:r>
        <w:t xml:space="preserve">) ; </w:t>
      </w:r>
    </w:p>
    <w:p w:rsidR="00434F20" w:rsidRPr="00D032A1" w:rsidRDefault="00434F20" w:rsidP="00434F20">
      <w:pPr>
        <w:ind w:left="720"/>
      </w:pPr>
      <w:proofErr w:type="gramStart"/>
      <w:r>
        <w:t>ou</w:t>
      </w:r>
      <w:proofErr w:type="gramEnd"/>
      <w:r>
        <w:t xml:space="preserve"> tout autre document de format libre, reprenant l’ensemble des informations et pièces justificatives indiquées dans le DC2 ;</w:t>
      </w:r>
    </w:p>
    <w:p w:rsidR="00434F20" w:rsidRPr="00D032A1" w:rsidRDefault="00434F20" w:rsidP="00434F20"/>
    <w:p w:rsidR="00434F20" w:rsidRPr="00D032A1" w:rsidRDefault="00434F20" w:rsidP="00434F20">
      <w:pPr>
        <w:pStyle w:val="RedTxt"/>
        <w:numPr>
          <w:ilvl w:val="0"/>
          <w:numId w:val="3"/>
        </w:numPr>
        <w:jc w:val="both"/>
        <w:rPr>
          <w:sz w:val="20"/>
          <w:szCs w:val="20"/>
        </w:rPr>
      </w:pPr>
      <w:r w:rsidRPr="00D032A1">
        <w:rPr>
          <w:sz w:val="20"/>
          <w:szCs w:val="20"/>
        </w:rPr>
        <w:t xml:space="preserve">Une </w:t>
      </w:r>
      <w:r>
        <w:rPr>
          <w:sz w:val="20"/>
          <w:szCs w:val="20"/>
        </w:rPr>
        <w:t>copie d’</w:t>
      </w:r>
      <w:r w:rsidRPr="00D032A1">
        <w:rPr>
          <w:sz w:val="20"/>
          <w:szCs w:val="20"/>
        </w:rPr>
        <w:t>attestation d’assurance.</w:t>
      </w:r>
    </w:p>
    <w:p w:rsidR="00434F20" w:rsidRPr="00D032A1" w:rsidRDefault="00434F20" w:rsidP="00434F20">
      <w:pPr>
        <w:ind w:left="720"/>
        <w:rPr>
          <w:highlight w:val="yellow"/>
        </w:rPr>
      </w:pPr>
    </w:p>
    <w:p w:rsidR="00434F20" w:rsidRPr="00D032A1" w:rsidRDefault="00434F20" w:rsidP="00434F20">
      <w:r>
        <w:t> </w:t>
      </w:r>
      <w:r w:rsidRPr="00D032A1">
        <w:t>Le candidat retenu devra, s’il ne l’a pas fait dans le cadre de son dossier de candidature, fournir préalablement à la notification du marché, et ceci dans un délai fixé par le pouvoir adjudicateur, les éléments suivants :</w:t>
      </w:r>
    </w:p>
    <w:p w:rsidR="00434F20" w:rsidRPr="00C95DB8" w:rsidRDefault="00434F20" w:rsidP="00434F20">
      <w:pPr>
        <w:jc w:val="both"/>
      </w:pPr>
    </w:p>
    <w:p w:rsidR="00434F20" w:rsidRPr="00C95DB8" w:rsidRDefault="00434F20" w:rsidP="00434F20">
      <w:pPr>
        <w:widowControl/>
        <w:numPr>
          <w:ilvl w:val="0"/>
          <w:numId w:val="2"/>
        </w:numPr>
        <w:jc w:val="both"/>
      </w:pPr>
      <w:r w:rsidRPr="00C95DB8">
        <w:t>Une copie de l’état annuel des certificats reçus (noti2) ou des certificats fiscaux et sociaux (certifiés conforme à l’original) à jour du dernier exercice comptable clos ;</w:t>
      </w:r>
    </w:p>
    <w:p w:rsidR="00434F20" w:rsidRDefault="00434F20" w:rsidP="00434F20">
      <w:pPr>
        <w:widowControl/>
        <w:numPr>
          <w:ilvl w:val="0"/>
          <w:numId w:val="2"/>
        </w:numPr>
        <w:jc w:val="both"/>
      </w:pPr>
      <w:r w:rsidRPr="00C95DB8">
        <w:t>Une déclaration relative à la lutte contre le travail dissimulé (noti1) accompagné</w:t>
      </w:r>
      <w:r>
        <w:t>e</w:t>
      </w:r>
      <w:r w:rsidRPr="00C95DB8">
        <w:t xml:space="preserve"> des documents qui y sont demandés</w:t>
      </w:r>
      <w:r>
        <w:t> ;</w:t>
      </w:r>
    </w:p>
    <w:p w:rsidR="00434F20" w:rsidRPr="00B209A2" w:rsidRDefault="00434F20" w:rsidP="00434F20">
      <w:pPr>
        <w:numPr>
          <w:ilvl w:val="0"/>
          <w:numId w:val="2"/>
        </w:numPr>
        <w:jc w:val="both"/>
      </w:pPr>
      <w:r w:rsidRPr="00B209A2">
        <w:t>Le titulaire d</w:t>
      </w:r>
      <w:r>
        <w:t>evra</w:t>
      </w:r>
      <w:r w:rsidRPr="00B209A2">
        <w:t xml:space="preserve"> justifier, dans un délai de quinze jours à compter de la notification du marché et avant tout début d’exécution de celui-ci, qu’il est titulaire </w:t>
      </w:r>
      <w:r w:rsidRPr="001B1172">
        <w:rPr>
          <w:u w:val="single"/>
        </w:rPr>
        <w:t>des contrats d’assurances</w:t>
      </w:r>
      <w:r w:rsidRPr="00B209A2">
        <w:t xml:space="preserve">, au moyen d’une attestation </w:t>
      </w:r>
      <w:r w:rsidRPr="00D032A1">
        <w:t>en cours de validité</w:t>
      </w:r>
      <w:r w:rsidRPr="00B209A2">
        <w:t xml:space="preserve"> établissant l’étendue de la responsabilité garantie.</w:t>
      </w:r>
    </w:p>
    <w:p w:rsidR="00434F20" w:rsidRPr="00C95DB8" w:rsidRDefault="00434F20" w:rsidP="00434F20">
      <w:pPr>
        <w:ind w:left="720"/>
      </w:pPr>
    </w:p>
    <w:p w:rsidR="00434F20" w:rsidRPr="00C95DB8" w:rsidRDefault="00434F20" w:rsidP="00434F20">
      <w:pPr>
        <w:ind w:left="720"/>
      </w:pPr>
    </w:p>
    <w:p w:rsidR="00434F20" w:rsidRPr="00C95DB8" w:rsidRDefault="00434F20" w:rsidP="00434F20">
      <w:pPr>
        <w:jc w:val="both"/>
      </w:pPr>
      <w:r w:rsidRPr="00C95DB8">
        <w:t>A défaut de fournir les imprimés précités, le marché pourra être attribué au concurrent ayant transmis les documents demandés et dont l’offre aura été classée immédiatement après.</w:t>
      </w:r>
    </w:p>
    <w:p w:rsidR="00434F20" w:rsidRPr="00C95DB8" w:rsidRDefault="00434F20" w:rsidP="00434F20">
      <w:pPr>
        <w:jc w:val="both"/>
      </w:pPr>
    </w:p>
    <w:p w:rsidR="00434F20" w:rsidRPr="00B5178D" w:rsidRDefault="00434F20" w:rsidP="00434F20">
      <w:pPr>
        <w:jc w:val="both"/>
      </w:pPr>
      <w:r w:rsidRPr="00C95DB8">
        <w:t>Les imprimés DC et NOTI et leur notice explicative peuvent être obtenus auprès des chambres de commerce et d’industrie ou par le réseau internet http://www.economie.gouv.fr/daj/formulaires-declaration-candidat</w:t>
      </w:r>
    </w:p>
    <w:p w:rsidR="00434F20" w:rsidRDefault="00434F20" w:rsidP="00434F20">
      <w:pPr>
        <w:pStyle w:val="RedTxt"/>
        <w:jc w:val="both"/>
        <w:rPr>
          <w:sz w:val="20"/>
          <w:szCs w:val="20"/>
        </w:rPr>
      </w:pPr>
    </w:p>
    <w:p w:rsidR="00434F20" w:rsidRDefault="00434F20" w:rsidP="00434F20">
      <w:pPr>
        <w:pStyle w:val="RedTxt"/>
        <w:numPr>
          <w:ilvl w:val="0"/>
          <w:numId w:val="1"/>
        </w:numPr>
        <w:jc w:val="both"/>
        <w:rPr>
          <w:sz w:val="20"/>
          <w:szCs w:val="20"/>
        </w:rPr>
      </w:pPr>
      <w:r>
        <w:rPr>
          <w:sz w:val="20"/>
          <w:szCs w:val="20"/>
        </w:rPr>
        <w:t>Capacités professionnelles :</w:t>
      </w:r>
    </w:p>
    <w:p w:rsidR="00434F20" w:rsidRDefault="00434F20" w:rsidP="00434F20">
      <w:pPr>
        <w:pStyle w:val="RedTxt"/>
        <w:ind w:left="360"/>
        <w:jc w:val="both"/>
        <w:rPr>
          <w:sz w:val="20"/>
          <w:szCs w:val="20"/>
        </w:rPr>
      </w:pPr>
    </w:p>
    <w:p w:rsidR="00434F20" w:rsidRDefault="00434F20" w:rsidP="00434F20">
      <w:pPr>
        <w:pStyle w:val="RedTxt"/>
        <w:jc w:val="both"/>
        <w:rPr>
          <w:sz w:val="20"/>
          <w:szCs w:val="20"/>
        </w:rPr>
      </w:pPr>
      <w:r>
        <w:rPr>
          <w:sz w:val="20"/>
          <w:szCs w:val="20"/>
        </w:rPr>
        <w:t>¤ Certificats de qualification professionnelle, certificats de capacité. La preuve de la capacité de l'entreprise peut être apportée par tout moyen attestant de la compétence de l'entreprise à réaliser la prestation pour laquelle elle se porte candidate ;</w:t>
      </w:r>
    </w:p>
    <w:p w:rsidR="00434F20" w:rsidRDefault="00434F20" w:rsidP="00434F20">
      <w:pPr>
        <w:pStyle w:val="RedTxt"/>
        <w:jc w:val="both"/>
        <w:rPr>
          <w:sz w:val="20"/>
          <w:szCs w:val="20"/>
        </w:rPr>
      </w:pPr>
    </w:p>
    <w:p w:rsidR="00434F20" w:rsidRDefault="00434F20" w:rsidP="00434F20">
      <w:pPr>
        <w:pStyle w:val="RedTxt"/>
        <w:numPr>
          <w:ilvl w:val="0"/>
          <w:numId w:val="1"/>
        </w:numPr>
        <w:jc w:val="both"/>
        <w:rPr>
          <w:sz w:val="20"/>
          <w:szCs w:val="20"/>
        </w:rPr>
      </w:pPr>
      <w:r>
        <w:rPr>
          <w:sz w:val="20"/>
          <w:szCs w:val="20"/>
        </w:rPr>
        <w:t>Capacités techniques :</w:t>
      </w:r>
    </w:p>
    <w:p w:rsidR="00434F20" w:rsidRDefault="00434F20" w:rsidP="00434F20">
      <w:pPr>
        <w:pStyle w:val="RedTxt"/>
        <w:ind w:left="360"/>
        <w:jc w:val="both"/>
        <w:rPr>
          <w:sz w:val="20"/>
          <w:szCs w:val="20"/>
        </w:rPr>
      </w:pPr>
    </w:p>
    <w:p w:rsidR="00434F20" w:rsidRDefault="00434F20" w:rsidP="00434F20">
      <w:pPr>
        <w:pStyle w:val="RedTxt"/>
        <w:jc w:val="both"/>
        <w:rPr>
          <w:sz w:val="20"/>
          <w:szCs w:val="20"/>
        </w:rPr>
      </w:pPr>
      <w:r>
        <w:rPr>
          <w:sz w:val="20"/>
          <w:szCs w:val="20"/>
        </w:rPr>
        <w:t>¤ Présentation des principales références en relation à l'objet du marché au cours des trois dernières années (montant, date, nature, destinataire public ou privé) ;</w:t>
      </w:r>
    </w:p>
    <w:p w:rsidR="00434F20" w:rsidRDefault="00434F20" w:rsidP="00434F20">
      <w:pPr>
        <w:pStyle w:val="RedTxt"/>
        <w:jc w:val="both"/>
        <w:rPr>
          <w:sz w:val="20"/>
          <w:szCs w:val="20"/>
        </w:rPr>
      </w:pPr>
    </w:p>
    <w:p w:rsidR="00434F20" w:rsidRDefault="00434F20" w:rsidP="00434F20">
      <w:pPr>
        <w:pStyle w:val="RedTxt"/>
        <w:jc w:val="both"/>
        <w:rPr>
          <w:sz w:val="20"/>
          <w:szCs w:val="20"/>
        </w:rPr>
      </w:pPr>
      <w:r>
        <w:rPr>
          <w:sz w:val="20"/>
          <w:szCs w:val="20"/>
        </w:rPr>
        <w:t xml:space="preserve">     -  Capacités administratives et financières :</w:t>
      </w:r>
    </w:p>
    <w:p w:rsidR="00434F20" w:rsidRDefault="00434F20" w:rsidP="00434F20">
      <w:pPr>
        <w:pStyle w:val="RedTxt"/>
        <w:jc w:val="both"/>
        <w:rPr>
          <w:sz w:val="20"/>
          <w:szCs w:val="20"/>
        </w:rPr>
      </w:pPr>
    </w:p>
    <w:p w:rsidR="00434F20" w:rsidRDefault="00434F20" w:rsidP="00434F20">
      <w:pPr>
        <w:pStyle w:val="RedTxt"/>
        <w:jc w:val="both"/>
        <w:rPr>
          <w:sz w:val="20"/>
          <w:szCs w:val="20"/>
        </w:rPr>
      </w:pPr>
      <w:r>
        <w:rPr>
          <w:sz w:val="20"/>
          <w:szCs w:val="20"/>
        </w:rPr>
        <w:t>¤ Déclaration concernant le chiffre d'affaire global et le chiffre d'affaire concernant les services, auxquels se réfère le marché, réalisés au cours des 3 derniers exercices ;</w:t>
      </w:r>
    </w:p>
    <w:p w:rsidR="00434F20" w:rsidRDefault="00434F20" w:rsidP="00434F20">
      <w:pPr>
        <w:pStyle w:val="RedTxt"/>
        <w:jc w:val="both"/>
        <w:rPr>
          <w:sz w:val="20"/>
          <w:szCs w:val="20"/>
        </w:rPr>
      </w:pPr>
      <w:r>
        <w:rPr>
          <w:sz w:val="20"/>
          <w:szCs w:val="20"/>
        </w:rPr>
        <w:t xml:space="preserve">¤ Présentation de l'entreprise (moyens humains, matériels, organigramme, </w:t>
      </w:r>
      <w:r w:rsidRPr="005B4968">
        <w:rPr>
          <w:sz w:val="20"/>
          <w:szCs w:val="20"/>
        </w:rPr>
        <w:t>CV des intervenants,</w:t>
      </w:r>
      <w:r>
        <w:rPr>
          <w:sz w:val="20"/>
          <w:szCs w:val="20"/>
        </w:rPr>
        <w:t xml:space="preserve"> effectifs de l'entreprise) ;</w:t>
      </w:r>
    </w:p>
    <w:p w:rsidR="00434F20" w:rsidRPr="0008556F" w:rsidRDefault="00434F20" w:rsidP="00434F20">
      <w:pPr>
        <w:pStyle w:val="RedTxt"/>
        <w:jc w:val="both"/>
        <w:rPr>
          <w:sz w:val="20"/>
          <w:szCs w:val="20"/>
        </w:rPr>
      </w:pPr>
    </w:p>
    <w:p w:rsidR="00434F20" w:rsidRPr="0008556F" w:rsidRDefault="00434F20" w:rsidP="00434F20">
      <w:pPr>
        <w:pStyle w:val="RedTxt"/>
        <w:jc w:val="both"/>
        <w:rPr>
          <w:sz w:val="20"/>
          <w:szCs w:val="20"/>
        </w:rPr>
      </w:pPr>
      <w:r w:rsidRPr="0008556F">
        <w:rPr>
          <w:sz w:val="20"/>
          <w:szCs w:val="20"/>
        </w:rPr>
        <w:t>Le candidat est libre de présenter tout autre renseignement ou document permettant d ‘évaluer ses capacités professionnelles, techniques ou financières en particulier pour répondre à ce dernier point.</w:t>
      </w:r>
    </w:p>
    <w:p w:rsidR="00DE05C4" w:rsidRDefault="00DE05C4">
      <w:pPr>
        <w:pStyle w:val="RedTxt"/>
        <w:jc w:val="both"/>
        <w:rPr>
          <w:sz w:val="20"/>
          <w:szCs w:val="20"/>
        </w:rPr>
      </w:pPr>
      <w:bookmarkStart w:id="0" w:name="_GoBack"/>
      <w:bookmarkEnd w:id="0"/>
    </w:p>
    <w:p w:rsidR="00DE05C4" w:rsidRDefault="006E4D14">
      <w:pPr>
        <w:pStyle w:val="RedTxt"/>
        <w:jc w:val="both"/>
        <w:rPr>
          <w:sz w:val="20"/>
          <w:szCs w:val="20"/>
        </w:rPr>
      </w:pPr>
      <w:r>
        <w:rPr>
          <w:b/>
          <w:bCs/>
          <w:sz w:val="20"/>
          <w:szCs w:val="20"/>
          <w:u w:val="single"/>
        </w:rPr>
        <w:lastRenderedPageBreak/>
        <w:t>Contenu de l'offre</w:t>
      </w:r>
    </w:p>
    <w:p w:rsidR="00434F20" w:rsidRDefault="00434F20" w:rsidP="00434F20">
      <w:pPr>
        <w:pStyle w:val="RedTxt"/>
        <w:jc w:val="both"/>
        <w:rPr>
          <w:sz w:val="20"/>
          <w:szCs w:val="20"/>
        </w:rPr>
      </w:pPr>
      <w:r>
        <w:rPr>
          <w:sz w:val="20"/>
          <w:szCs w:val="20"/>
        </w:rPr>
        <w:t xml:space="preserve">- Acte d'Engagement et ses annexes, cadre ci-joint à compléter, daté et signé par le représentant qualifié de l'entreprise. </w:t>
      </w:r>
      <w:r w:rsidRPr="00C46B1C">
        <w:rPr>
          <w:sz w:val="20"/>
          <w:szCs w:val="20"/>
          <w:u w:val="single"/>
        </w:rPr>
        <w:t>Le candidat devra renseigner un acte d’engagement par lot obligatoirement</w:t>
      </w:r>
      <w:r>
        <w:rPr>
          <w:sz w:val="20"/>
          <w:szCs w:val="20"/>
        </w:rPr>
        <w:t>.</w:t>
      </w:r>
    </w:p>
    <w:p w:rsidR="00434F20" w:rsidRDefault="00434F20" w:rsidP="00434F20">
      <w:pPr>
        <w:pStyle w:val="RedTxt"/>
        <w:jc w:val="both"/>
        <w:rPr>
          <w:sz w:val="20"/>
          <w:szCs w:val="20"/>
        </w:rPr>
      </w:pPr>
      <w:r>
        <w:rPr>
          <w:sz w:val="20"/>
          <w:szCs w:val="20"/>
        </w:rPr>
        <w:t>- Cahier des Clauses Particulières (paraphé et signé par le candidat)</w:t>
      </w:r>
    </w:p>
    <w:p w:rsidR="00434F20" w:rsidRDefault="00434F20" w:rsidP="00434F20">
      <w:pPr>
        <w:pStyle w:val="RedTxt"/>
        <w:jc w:val="both"/>
        <w:rPr>
          <w:sz w:val="20"/>
          <w:szCs w:val="20"/>
        </w:rPr>
      </w:pPr>
      <w:r>
        <w:rPr>
          <w:sz w:val="20"/>
          <w:szCs w:val="20"/>
        </w:rPr>
        <w:t>- devis détaillé</w:t>
      </w:r>
    </w:p>
    <w:p w:rsidR="00DE05C4" w:rsidRDefault="00DE05C4">
      <w:pPr>
        <w:pStyle w:val="RedTxt"/>
        <w:jc w:val="both"/>
        <w:rPr>
          <w:sz w:val="20"/>
          <w:szCs w:val="20"/>
        </w:rPr>
      </w:pPr>
    </w:p>
    <w:p w:rsidR="00DE05C4" w:rsidRDefault="006E4D14">
      <w:pPr>
        <w:pStyle w:val="RedTxt"/>
        <w:jc w:val="both"/>
        <w:rPr>
          <w:sz w:val="20"/>
          <w:szCs w:val="20"/>
        </w:rPr>
      </w:pPr>
      <w:r>
        <w:rPr>
          <w:sz w:val="20"/>
          <w:szCs w:val="20"/>
        </w:rPr>
        <w:t xml:space="preserve">En outre, pour chaque sous-traitant présenté dans l'offre, le candidat devra joindre, en plus de l'annexe : </w:t>
      </w:r>
    </w:p>
    <w:p w:rsidR="00DE05C4" w:rsidRDefault="006E4D14">
      <w:pPr>
        <w:pStyle w:val="RedTxt"/>
        <w:jc w:val="both"/>
        <w:rPr>
          <w:sz w:val="20"/>
          <w:szCs w:val="20"/>
        </w:rPr>
      </w:pPr>
      <w:r>
        <w:rPr>
          <w:sz w:val="20"/>
          <w:szCs w:val="20"/>
        </w:rPr>
        <w:t>- Les capacités professionnelles et financières du sous-traitant ;</w:t>
      </w:r>
    </w:p>
    <w:p w:rsidR="00DE05C4" w:rsidRDefault="006E4D14">
      <w:pPr>
        <w:pStyle w:val="RedTxt"/>
        <w:jc w:val="both"/>
        <w:rPr>
          <w:sz w:val="20"/>
          <w:szCs w:val="20"/>
        </w:rPr>
      </w:pPr>
      <w:r>
        <w:rPr>
          <w:sz w:val="20"/>
          <w:szCs w:val="20"/>
        </w:rPr>
        <w:t>- Une déclaration du sous-traitant indiquant qu'il ne tombe pas sous le coup d'une interdiction prévue aux articles 51 et 134 du Décret n° 2016-360 du 25 mars 2016.</w:t>
      </w:r>
    </w:p>
    <w:p w:rsidR="00DE05C4" w:rsidRDefault="00DE05C4">
      <w:pPr>
        <w:pStyle w:val="RedTxt"/>
        <w:jc w:val="both"/>
        <w:rPr>
          <w:sz w:val="20"/>
          <w:szCs w:val="20"/>
        </w:rPr>
      </w:pPr>
    </w:p>
    <w:p w:rsidR="00DE05C4" w:rsidRDefault="006E4D14">
      <w:pPr>
        <w:pStyle w:val="RedTxt"/>
        <w:jc w:val="both"/>
        <w:rPr>
          <w:sz w:val="20"/>
          <w:szCs w:val="20"/>
        </w:rPr>
      </w:pPr>
      <w:r>
        <w:rPr>
          <w:sz w:val="20"/>
          <w:szCs w:val="20"/>
        </w:rPr>
        <w:t>Conformément à l'article 55 - IV du Décret n° 2016-360 du 25 mars 2016,  le candidat retenu ne saurait être désigné définitivement comme titulaire du marché qu'à la condition de produire dans un délai imparti les documents justificatifs, les moyens de preuve, les compléments ou explications requis par l'entité adjudicatrice.</w:t>
      </w:r>
    </w:p>
    <w:p w:rsidR="00DE05C4" w:rsidRDefault="00DE05C4">
      <w:pPr>
        <w:pStyle w:val="RedTxt"/>
        <w:jc w:val="both"/>
        <w:rPr>
          <w:sz w:val="20"/>
          <w:szCs w:val="20"/>
        </w:rPr>
      </w:pPr>
    </w:p>
    <w:p w:rsidR="00DE05C4" w:rsidRDefault="006E4D14">
      <w:pPr>
        <w:pStyle w:val="RedTxt"/>
        <w:jc w:val="both"/>
      </w:pPr>
      <w:r>
        <w:rPr>
          <w:sz w:val="20"/>
          <w:szCs w:val="20"/>
        </w:rPr>
        <w:t>Les candidats ne sont pas tenus de fournir les documents et renseignements que l'entité adjudicatrice  peut obtenir directement par le biais d'un système électronique de mise à disposition d'informations, administré par un organisme officiel ou d'un espace de stockage numérique, à condition que le candidat mentionne dans le dossier de candidature toutes les informations nécessaires à la consultation de ce système et que l'accès soit gratuit.</w:t>
      </w:r>
    </w:p>
    <w:p w:rsidR="00DE05C4" w:rsidRDefault="006E4D14">
      <w:pPr>
        <w:pStyle w:val="RedPara"/>
        <w:spacing w:after="120"/>
        <w:ind w:firstLine="709"/>
      </w:pPr>
      <w:r>
        <w:t>5-2-Compléments à apporter au cahier des charges</w:t>
      </w:r>
    </w:p>
    <w:p w:rsidR="00DE05C4" w:rsidRDefault="006E4D14">
      <w:pPr>
        <w:pStyle w:val="RedTxt"/>
        <w:jc w:val="both"/>
      </w:pPr>
      <w:r>
        <w:rPr>
          <w:sz w:val="20"/>
          <w:szCs w:val="20"/>
        </w:rPr>
        <w:t>Sans objet.</w:t>
      </w:r>
    </w:p>
    <w:p w:rsidR="00DE05C4" w:rsidRDefault="006E4D14">
      <w:pPr>
        <w:pStyle w:val="RedPara"/>
        <w:spacing w:after="120"/>
        <w:ind w:firstLine="709"/>
      </w:pPr>
      <w:r>
        <w:t>5-3-Langue de rédaction des propositions</w:t>
      </w:r>
    </w:p>
    <w:p w:rsidR="00DE05C4" w:rsidRDefault="006E4D14">
      <w:pPr>
        <w:pStyle w:val="RedTxt"/>
        <w:jc w:val="both"/>
      </w:pPr>
      <w:r>
        <w:rPr>
          <w:sz w:val="20"/>
          <w:szCs w:val="20"/>
        </w:rPr>
        <w:t>Les propositions doivent être rédigées en langue française.</w:t>
      </w:r>
    </w:p>
    <w:p w:rsidR="00DE05C4" w:rsidRDefault="006E4D14">
      <w:pPr>
        <w:pStyle w:val="RedPara"/>
        <w:spacing w:after="120"/>
        <w:ind w:firstLine="709"/>
      </w:pPr>
      <w:r>
        <w:t>5-4-Unité monétaire</w:t>
      </w:r>
    </w:p>
    <w:p w:rsidR="00DE05C4" w:rsidRDefault="006E4D14">
      <w:pPr>
        <w:pStyle w:val="RedTxt"/>
        <w:jc w:val="both"/>
      </w:pPr>
      <w:r>
        <w:rPr>
          <w:sz w:val="20"/>
          <w:szCs w:val="20"/>
        </w:rPr>
        <w:t>L'entité adjudicatrice conclura le marché dans l'unité monétaire suivante : euro(s).</w:t>
      </w:r>
    </w:p>
    <w:p w:rsidR="00DE05C4" w:rsidRDefault="006E4D14">
      <w:pPr>
        <w:pStyle w:val="RedPara"/>
        <w:spacing w:after="120"/>
        <w:ind w:firstLine="709"/>
      </w:pPr>
      <w:r>
        <w:t>5-5-Conditions d'envoi ou de remise des plis</w:t>
      </w:r>
    </w:p>
    <w:p w:rsidR="00DE05C4" w:rsidRDefault="006E4D14">
      <w:pPr>
        <w:pStyle w:val="RedTxt"/>
        <w:jc w:val="both"/>
        <w:rPr>
          <w:sz w:val="20"/>
          <w:szCs w:val="20"/>
        </w:rPr>
      </w:pPr>
      <w:r>
        <w:rPr>
          <w:sz w:val="20"/>
          <w:szCs w:val="20"/>
        </w:rPr>
        <w:t>Les candidats transmettent leur proposition sous pli portant la mention suivante :</w:t>
      </w:r>
    </w:p>
    <w:p w:rsidR="00DE05C4" w:rsidRDefault="00DE05C4">
      <w:pPr>
        <w:pStyle w:val="RedTxt"/>
        <w:jc w:val="both"/>
        <w:rPr>
          <w:sz w:val="20"/>
          <w:szCs w:val="20"/>
        </w:rPr>
      </w:pPr>
    </w:p>
    <w:p w:rsidR="00DE05C4" w:rsidRDefault="006E4D14">
      <w:pPr>
        <w:pStyle w:val="RedTxt"/>
        <w:jc w:val="both"/>
        <w:rPr>
          <w:sz w:val="20"/>
          <w:szCs w:val="20"/>
        </w:rPr>
      </w:pPr>
      <w:r>
        <w:rPr>
          <w:sz w:val="20"/>
          <w:szCs w:val="20"/>
        </w:rPr>
        <w:t xml:space="preserve">"Affaire n°17S0006 - Renouvellement de la maintenance </w:t>
      </w:r>
      <w:proofErr w:type="spellStart"/>
      <w:r>
        <w:rPr>
          <w:sz w:val="20"/>
          <w:szCs w:val="20"/>
        </w:rPr>
        <w:t>antispam</w:t>
      </w:r>
      <w:proofErr w:type="spellEnd"/>
      <w:r>
        <w:rPr>
          <w:sz w:val="20"/>
          <w:szCs w:val="20"/>
        </w:rPr>
        <w:t xml:space="preserve"> </w:t>
      </w:r>
      <w:r w:rsidR="00434F20">
        <w:rPr>
          <w:sz w:val="20"/>
          <w:szCs w:val="20"/>
        </w:rPr>
        <w:t xml:space="preserve">+ n° Lot </w:t>
      </w:r>
      <w:r>
        <w:rPr>
          <w:sz w:val="20"/>
          <w:szCs w:val="20"/>
        </w:rPr>
        <w:t>- NE PAS OUVRIR ".</w:t>
      </w:r>
    </w:p>
    <w:p w:rsidR="00DE05C4" w:rsidRDefault="00DE05C4">
      <w:pPr>
        <w:pStyle w:val="RedTxt"/>
        <w:jc w:val="both"/>
        <w:rPr>
          <w:sz w:val="20"/>
          <w:szCs w:val="20"/>
        </w:rPr>
      </w:pPr>
    </w:p>
    <w:p w:rsidR="00DE05C4" w:rsidRDefault="006E4D14">
      <w:pPr>
        <w:pStyle w:val="RedTxt"/>
        <w:jc w:val="both"/>
        <w:rPr>
          <w:sz w:val="20"/>
          <w:szCs w:val="20"/>
        </w:rPr>
      </w:pPr>
      <w:r>
        <w:rPr>
          <w:sz w:val="20"/>
          <w:szCs w:val="20"/>
        </w:rPr>
        <w:t>L'enveloppe contient les justificatifs de candidature visés à l'article 51 du Décret n° 2016-360 du 25 mars 2016 et au règlement de la consultation, ainsi que les éléments relatifs à l'offre.</w:t>
      </w:r>
    </w:p>
    <w:p w:rsidR="00DE05C4" w:rsidRDefault="00DE05C4">
      <w:pPr>
        <w:pStyle w:val="RedTxt"/>
        <w:jc w:val="both"/>
        <w:rPr>
          <w:sz w:val="20"/>
          <w:szCs w:val="20"/>
        </w:rPr>
      </w:pPr>
    </w:p>
    <w:p w:rsidR="00DE05C4" w:rsidRDefault="006E4D14">
      <w:pPr>
        <w:pStyle w:val="RedTxt"/>
        <w:jc w:val="both"/>
        <w:rPr>
          <w:sz w:val="20"/>
          <w:szCs w:val="20"/>
        </w:rPr>
      </w:pPr>
      <w:r>
        <w:rPr>
          <w:sz w:val="20"/>
          <w:szCs w:val="20"/>
        </w:rPr>
        <w:t>Les plis devront  être remis contre récépissé à l'adresse suivante :</w:t>
      </w:r>
    </w:p>
    <w:p w:rsidR="00DE05C4" w:rsidRDefault="00DE05C4">
      <w:pPr>
        <w:pStyle w:val="RedTxt"/>
        <w:jc w:val="both"/>
        <w:rPr>
          <w:sz w:val="20"/>
          <w:szCs w:val="20"/>
        </w:rPr>
      </w:pPr>
    </w:p>
    <w:p w:rsidR="00DE05C4" w:rsidRDefault="006E4D14">
      <w:pPr>
        <w:pStyle w:val="RedTxt"/>
        <w:jc w:val="both"/>
        <w:rPr>
          <w:sz w:val="20"/>
          <w:szCs w:val="20"/>
        </w:rPr>
      </w:pPr>
      <w:r>
        <w:rPr>
          <w:sz w:val="20"/>
          <w:szCs w:val="20"/>
        </w:rPr>
        <w:t xml:space="preserve">SEPD- Service Marchés - Outillage Public du Port - de 09H à 12H et de 14H à 16H30 </w:t>
      </w:r>
    </w:p>
    <w:p w:rsidR="00DE05C4" w:rsidRDefault="00DE05C4">
      <w:pPr>
        <w:pStyle w:val="RedTxt"/>
        <w:jc w:val="both"/>
        <w:rPr>
          <w:sz w:val="20"/>
          <w:szCs w:val="20"/>
        </w:rPr>
      </w:pPr>
    </w:p>
    <w:p w:rsidR="00DE05C4" w:rsidRDefault="006E4D14">
      <w:pPr>
        <w:pStyle w:val="RedTxt"/>
        <w:jc w:val="both"/>
        <w:rPr>
          <w:sz w:val="20"/>
          <w:szCs w:val="20"/>
        </w:rPr>
      </w:pPr>
      <w:proofErr w:type="gramStart"/>
      <w:r>
        <w:rPr>
          <w:sz w:val="20"/>
          <w:szCs w:val="20"/>
        </w:rPr>
        <w:t>ou</w:t>
      </w:r>
      <w:proofErr w:type="gramEnd"/>
      <w:r>
        <w:rPr>
          <w:sz w:val="20"/>
          <w:szCs w:val="20"/>
        </w:rPr>
        <w:t>, s'ils sont envoyés par la poste, devront l'être à  l'adresse ci-dessous :</w:t>
      </w:r>
    </w:p>
    <w:p w:rsidR="00DE05C4" w:rsidRDefault="00DE05C4">
      <w:pPr>
        <w:pStyle w:val="RedTxt"/>
        <w:jc w:val="both"/>
        <w:rPr>
          <w:sz w:val="20"/>
          <w:szCs w:val="20"/>
        </w:rPr>
      </w:pPr>
    </w:p>
    <w:p w:rsidR="00DE05C4" w:rsidRDefault="006E4D14">
      <w:pPr>
        <w:pStyle w:val="RedTxt"/>
        <w:jc w:val="both"/>
        <w:rPr>
          <w:sz w:val="20"/>
          <w:szCs w:val="20"/>
        </w:rPr>
      </w:pPr>
      <w:r>
        <w:rPr>
          <w:sz w:val="20"/>
          <w:szCs w:val="20"/>
        </w:rPr>
        <w:t>Société d'Exploitation</w:t>
      </w:r>
    </w:p>
    <w:p w:rsidR="00DE05C4" w:rsidRDefault="006E4D14">
      <w:pPr>
        <w:pStyle w:val="RedTxt"/>
        <w:jc w:val="both"/>
        <w:rPr>
          <w:sz w:val="20"/>
          <w:szCs w:val="20"/>
        </w:rPr>
      </w:pPr>
      <w:proofErr w:type="gramStart"/>
      <w:r>
        <w:rPr>
          <w:sz w:val="20"/>
          <w:szCs w:val="20"/>
        </w:rPr>
        <w:t>des</w:t>
      </w:r>
      <w:proofErr w:type="gramEnd"/>
      <w:r>
        <w:rPr>
          <w:sz w:val="20"/>
          <w:szCs w:val="20"/>
        </w:rPr>
        <w:t xml:space="preserve"> Ports du Détroit</w:t>
      </w:r>
    </w:p>
    <w:p w:rsidR="00DE05C4" w:rsidRDefault="006E4D14">
      <w:pPr>
        <w:pStyle w:val="RedTxt"/>
        <w:jc w:val="both"/>
        <w:rPr>
          <w:sz w:val="20"/>
          <w:szCs w:val="20"/>
        </w:rPr>
      </w:pPr>
      <w:r>
        <w:rPr>
          <w:sz w:val="20"/>
          <w:szCs w:val="20"/>
        </w:rPr>
        <w:t xml:space="preserve">Port de </w:t>
      </w:r>
      <w:r w:rsidR="00434F20">
        <w:rPr>
          <w:sz w:val="20"/>
          <w:szCs w:val="20"/>
        </w:rPr>
        <w:t xml:space="preserve">Boulogne </w:t>
      </w:r>
      <w:r>
        <w:rPr>
          <w:sz w:val="20"/>
          <w:szCs w:val="20"/>
        </w:rPr>
        <w:t>Calais - Service Marchés</w:t>
      </w:r>
    </w:p>
    <w:p w:rsidR="00DE05C4" w:rsidRDefault="006E4D14">
      <w:pPr>
        <w:pStyle w:val="RedTxt"/>
        <w:jc w:val="both"/>
        <w:rPr>
          <w:sz w:val="20"/>
          <w:szCs w:val="20"/>
        </w:rPr>
      </w:pPr>
      <w:r>
        <w:rPr>
          <w:sz w:val="20"/>
          <w:szCs w:val="20"/>
        </w:rPr>
        <w:t>24, bd des Alliés</w:t>
      </w:r>
    </w:p>
    <w:p w:rsidR="00DE05C4" w:rsidRDefault="006E4D14">
      <w:pPr>
        <w:pStyle w:val="RedTxt"/>
        <w:jc w:val="both"/>
        <w:rPr>
          <w:sz w:val="20"/>
          <w:szCs w:val="20"/>
        </w:rPr>
      </w:pPr>
      <w:r>
        <w:rPr>
          <w:sz w:val="20"/>
          <w:szCs w:val="20"/>
        </w:rPr>
        <w:t>C.S. 90283</w:t>
      </w:r>
    </w:p>
    <w:p w:rsidR="00DE05C4" w:rsidRDefault="006E4D14">
      <w:pPr>
        <w:pStyle w:val="RedTxt"/>
        <w:jc w:val="both"/>
        <w:rPr>
          <w:sz w:val="20"/>
          <w:szCs w:val="20"/>
        </w:rPr>
      </w:pPr>
      <w:r>
        <w:rPr>
          <w:sz w:val="20"/>
          <w:szCs w:val="20"/>
        </w:rPr>
        <w:t>62105</w:t>
      </w:r>
    </w:p>
    <w:p w:rsidR="00DE05C4" w:rsidRDefault="006E4D14">
      <w:pPr>
        <w:pStyle w:val="RedTxt"/>
        <w:jc w:val="both"/>
        <w:rPr>
          <w:sz w:val="20"/>
          <w:szCs w:val="20"/>
        </w:rPr>
      </w:pPr>
      <w:r>
        <w:rPr>
          <w:sz w:val="20"/>
          <w:szCs w:val="20"/>
        </w:rPr>
        <w:t>CALAIS CEDEX</w:t>
      </w:r>
    </w:p>
    <w:p w:rsidR="00DE05C4" w:rsidRDefault="00DE05C4">
      <w:pPr>
        <w:pStyle w:val="RedTxt"/>
        <w:jc w:val="both"/>
        <w:rPr>
          <w:sz w:val="20"/>
          <w:szCs w:val="20"/>
        </w:rPr>
      </w:pPr>
    </w:p>
    <w:p w:rsidR="00DE05C4" w:rsidRDefault="006E4D14">
      <w:pPr>
        <w:pStyle w:val="RedTxt"/>
        <w:jc w:val="both"/>
        <w:rPr>
          <w:sz w:val="20"/>
          <w:szCs w:val="20"/>
        </w:rPr>
      </w:pPr>
      <w:proofErr w:type="gramStart"/>
      <w:r>
        <w:rPr>
          <w:sz w:val="20"/>
          <w:szCs w:val="20"/>
        </w:rPr>
        <w:t>par</w:t>
      </w:r>
      <w:proofErr w:type="gramEnd"/>
      <w:r>
        <w:rPr>
          <w:sz w:val="20"/>
          <w:szCs w:val="20"/>
        </w:rPr>
        <w:t xml:space="preserve"> pli recommandé avec avis de réception postal. </w:t>
      </w:r>
    </w:p>
    <w:p w:rsidR="00DE05C4" w:rsidRDefault="00DE05C4">
      <w:pPr>
        <w:pStyle w:val="RedTxt"/>
        <w:jc w:val="both"/>
        <w:rPr>
          <w:sz w:val="20"/>
          <w:szCs w:val="20"/>
        </w:rPr>
      </w:pPr>
    </w:p>
    <w:p w:rsidR="00DE05C4" w:rsidRDefault="006E4D14">
      <w:pPr>
        <w:pStyle w:val="RedTxt"/>
        <w:jc w:val="both"/>
        <w:rPr>
          <w:sz w:val="20"/>
          <w:szCs w:val="20"/>
        </w:rPr>
      </w:pPr>
      <w:r>
        <w:rPr>
          <w:sz w:val="20"/>
          <w:szCs w:val="20"/>
        </w:rPr>
        <w:t>Les dossiers qui parviendraient après la date et l'heure limites fixées au présent règlement de la consultation ne seront pas ouverts.</w:t>
      </w:r>
    </w:p>
    <w:p w:rsidR="00DE05C4" w:rsidRDefault="00DE05C4">
      <w:pPr>
        <w:pStyle w:val="RedTxt"/>
        <w:jc w:val="both"/>
        <w:rPr>
          <w:sz w:val="20"/>
          <w:szCs w:val="20"/>
        </w:rPr>
      </w:pPr>
    </w:p>
    <w:p w:rsidR="00DE05C4" w:rsidRDefault="006E4D14">
      <w:pPr>
        <w:pStyle w:val="RedPara"/>
        <w:spacing w:after="120"/>
        <w:ind w:firstLine="709"/>
      </w:pPr>
      <w:r>
        <w:lastRenderedPageBreak/>
        <w:t>5-6-Négociation</w:t>
      </w:r>
    </w:p>
    <w:p w:rsidR="00434F20" w:rsidRDefault="00434F20" w:rsidP="00434F20">
      <w:pPr>
        <w:pStyle w:val="RedTxt"/>
        <w:jc w:val="both"/>
        <w:rPr>
          <w:sz w:val="20"/>
          <w:szCs w:val="20"/>
        </w:rPr>
      </w:pPr>
      <w:r>
        <w:rPr>
          <w:sz w:val="20"/>
          <w:szCs w:val="20"/>
        </w:rPr>
        <w:t xml:space="preserve">Les conditions de négociation sont les suivantes : </w:t>
      </w:r>
    </w:p>
    <w:p w:rsidR="00434F20" w:rsidRDefault="00434F20" w:rsidP="00434F20">
      <w:pPr>
        <w:pStyle w:val="RedTxt"/>
        <w:jc w:val="both"/>
        <w:rPr>
          <w:sz w:val="20"/>
          <w:szCs w:val="20"/>
        </w:rPr>
      </w:pPr>
    </w:p>
    <w:p w:rsidR="00434F20" w:rsidRPr="00EB7F2B" w:rsidRDefault="00434F20" w:rsidP="00434F20">
      <w:pPr>
        <w:pStyle w:val="RedaliaNormal"/>
        <w:rPr>
          <w:rFonts w:ascii="Arial" w:hAnsi="Arial" w:cs="Arial"/>
        </w:rPr>
      </w:pPr>
      <w:r w:rsidRPr="00EB7F2B">
        <w:rPr>
          <w:rFonts w:ascii="Arial" w:hAnsi="Arial" w:cs="Arial"/>
        </w:rPr>
        <w:t>Si l’entité adjudicatrice décide de recourir à la négociation, celle-ci s’effectuera dans les conditions retracées ci-après :</w:t>
      </w:r>
    </w:p>
    <w:p w:rsidR="00434F20" w:rsidRPr="00EB7F2B" w:rsidRDefault="00434F20" w:rsidP="00434F20">
      <w:pPr>
        <w:pStyle w:val="RedaliaNormal"/>
        <w:rPr>
          <w:rFonts w:ascii="Arial" w:hAnsi="Arial" w:cs="Arial"/>
        </w:rPr>
      </w:pPr>
      <w:r w:rsidRPr="00EB7F2B">
        <w:rPr>
          <w:rFonts w:ascii="Arial" w:hAnsi="Arial" w:cs="Arial"/>
        </w:rPr>
        <w:t>La négociation pourra notamment porter sur le prix, le délai, les garanties de bonne exécution du marché</w:t>
      </w:r>
      <w:r>
        <w:rPr>
          <w:rFonts w:ascii="Arial" w:hAnsi="Arial" w:cs="Arial"/>
        </w:rPr>
        <w:t>.</w:t>
      </w:r>
    </w:p>
    <w:p w:rsidR="00434F20" w:rsidRPr="00EB7F2B" w:rsidRDefault="00434F20" w:rsidP="00434F20">
      <w:pPr>
        <w:pStyle w:val="RedaliaNormal"/>
        <w:rPr>
          <w:rFonts w:ascii="Arial" w:hAnsi="Arial" w:cs="Arial"/>
        </w:rPr>
      </w:pPr>
      <w:r w:rsidRPr="00EB7F2B">
        <w:rPr>
          <w:rFonts w:ascii="Arial" w:hAnsi="Arial" w:cs="Arial"/>
        </w:rPr>
        <w:t>L’entité adjudicatrice invitera les candidats, par télécopie, par courriel ou par lettre recommandée avec avis de réception à négocier.</w:t>
      </w:r>
    </w:p>
    <w:p w:rsidR="00434F20" w:rsidRPr="00EB7F2B" w:rsidRDefault="00434F20" w:rsidP="00434F20">
      <w:pPr>
        <w:pStyle w:val="RedaliaNormal"/>
        <w:rPr>
          <w:rFonts w:ascii="Arial" w:hAnsi="Arial" w:cs="Arial"/>
        </w:rPr>
      </w:pPr>
      <w:r w:rsidRPr="00EB7F2B">
        <w:rPr>
          <w:rFonts w:ascii="Arial" w:hAnsi="Arial" w:cs="Arial"/>
        </w:rPr>
        <w:t>Cette télécopie, ce courriel ou ce courrier précisera les modalités de la négociation (forme écrite ou orale, durée de la négociation, terme, conditions de la négociation, nombre d’auditions, etc.).</w:t>
      </w:r>
    </w:p>
    <w:p w:rsidR="00434F20" w:rsidRPr="00EB7F2B" w:rsidRDefault="00434F20" w:rsidP="00434F20">
      <w:pPr>
        <w:pStyle w:val="RedaliaNormal"/>
        <w:rPr>
          <w:rFonts w:ascii="Arial" w:hAnsi="Arial" w:cs="Arial"/>
        </w:rPr>
      </w:pPr>
      <w:r w:rsidRPr="00EB7F2B">
        <w:rPr>
          <w:rFonts w:ascii="Arial" w:hAnsi="Arial" w:cs="Arial"/>
        </w:rPr>
        <w:t>L’entité adjudicatrice se réserve le droit de convoquer les candidats à un ou plusieurs tours de négociation. Pour les candidats qui décident de ne pas participer pas à la négociation alors qu’ils y étaient invités ou qui décident de ne pas modifier leur offre, le jugement et le classement final de leur offre sera effectué sur la base de leur offre initialement remise (avant négociation).</w:t>
      </w:r>
    </w:p>
    <w:p w:rsidR="00434F20" w:rsidRPr="00EB7F2B" w:rsidRDefault="00434F20" w:rsidP="00434F20">
      <w:pPr>
        <w:pStyle w:val="RedaliaNormal"/>
        <w:rPr>
          <w:rFonts w:ascii="Arial" w:hAnsi="Arial" w:cs="Arial"/>
        </w:rPr>
      </w:pPr>
      <w:r w:rsidRPr="00EB7F2B">
        <w:rPr>
          <w:rFonts w:ascii="Arial" w:hAnsi="Arial" w:cs="Arial"/>
        </w:rPr>
        <w:t>Dans le cas d’une modification financière de l’offre, celle-ci fera l’objet d’un nouvel acte d’engagement.</w:t>
      </w:r>
    </w:p>
    <w:p w:rsidR="00434F20" w:rsidRPr="00EB7F2B" w:rsidRDefault="00434F20" w:rsidP="00434F20">
      <w:pPr>
        <w:pStyle w:val="RedaliaNormal"/>
        <w:rPr>
          <w:rFonts w:ascii="Arial" w:hAnsi="Arial" w:cs="Arial"/>
        </w:rPr>
      </w:pPr>
    </w:p>
    <w:p w:rsidR="00434F20" w:rsidRPr="00EB7F2B" w:rsidRDefault="00434F20" w:rsidP="00434F20">
      <w:pPr>
        <w:pStyle w:val="RedaliaNormal"/>
        <w:rPr>
          <w:rFonts w:ascii="Arial" w:hAnsi="Arial" w:cs="Arial"/>
        </w:rPr>
      </w:pPr>
      <w:r w:rsidRPr="00EB7F2B">
        <w:rPr>
          <w:rFonts w:ascii="Arial" w:hAnsi="Arial" w:cs="Arial"/>
        </w:rPr>
        <w:t>A l’issue des négociations, l’entité adjudicatrice établira un classement final selon les critères de jugement des offres définis dans le présent règlement de consultation et choisira l’offre économiquement la plus avantageuse.</w:t>
      </w:r>
    </w:p>
    <w:p w:rsidR="00434F20" w:rsidRPr="00EB7F2B" w:rsidRDefault="00434F20" w:rsidP="00434F20">
      <w:pPr>
        <w:pStyle w:val="RedaliaNormal"/>
        <w:rPr>
          <w:rFonts w:ascii="Arial" w:hAnsi="Arial" w:cs="Arial"/>
        </w:rPr>
      </w:pPr>
    </w:p>
    <w:p w:rsidR="00434F20" w:rsidRPr="00EB7F2B" w:rsidRDefault="00434F20" w:rsidP="00434F20">
      <w:pPr>
        <w:pStyle w:val="RedaliaNormal"/>
        <w:rPr>
          <w:rFonts w:ascii="Arial" w:hAnsi="Arial" w:cs="Arial"/>
        </w:rPr>
      </w:pPr>
      <w:r w:rsidRPr="00EB7F2B">
        <w:rPr>
          <w:rFonts w:ascii="Arial" w:hAnsi="Arial" w:cs="Arial"/>
        </w:rPr>
        <w:t>L’entité adjudicatrice garantit le strict respect des principes de transparence et d’égalité de traitement des candidats et assure que les conditions dans lesquelles la mise en concurrence initiale a été mise en œuvre ne seront pas bouleversées. L’entité adjudicatrice veillera également à assurer la confidentialité des offres ainsi que la traçabilité des résultats obtenus à chaque étape de la négociation.</w:t>
      </w:r>
    </w:p>
    <w:p w:rsidR="00DE05C4" w:rsidRDefault="00DE05C4">
      <w:pPr>
        <w:pStyle w:val="RedTxt"/>
        <w:jc w:val="both"/>
      </w:pPr>
    </w:p>
    <w:p w:rsidR="00DE05C4" w:rsidRDefault="006E4D14">
      <w:pPr>
        <w:pStyle w:val="RedTitre2"/>
        <w:pBdr>
          <w:top w:val="none" w:sz="0" w:space="0" w:color="auto"/>
          <w:left w:val="none" w:sz="0" w:space="0" w:color="auto"/>
          <w:bottom w:val="none" w:sz="0" w:space="0" w:color="auto"/>
          <w:right w:val="none" w:sz="0" w:space="0" w:color="auto"/>
        </w:pBdr>
        <w:shd w:val="pct5" w:color="auto" w:fill="auto"/>
        <w:spacing w:after="120"/>
      </w:pPr>
      <w:r>
        <w:t>Article  6 - Jugement des propositions</w:t>
      </w:r>
    </w:p>
    <w:p w:rsidR="00DE05C4" w:rsidRDefault="006E4D14">
      <w:pPr>
        <w:pStyle w:val="RedTxt"/>
        <w:jc w:val="both"/>
        <w:rPr>
          <w:sz w:val="20"/>
          <w:szCs w:val="20"/>
        </w:rPr>
      </w:pPr>
      <w:r>
        <w:rPr>
          <w:sz w:val="20"/>
          <w:szCs w:val="20"/>
        </w:rPr>
        <w:t>Le jugement des propositions sera effectué dans les conditions prévues à l'article 62 du Décret n° 2016-360 du 25 mars 2016 au moyen des critères suivants :</w:t>
      </w:r>
    </w:p>
    <w:p w:rsidR="00DE05C4" w:rsidRDefault="00DE05C4">
      <w:pPr>
        <w:pStyle w:val="RedTxt"/>
        <w:jc w:val="both"/>
      </w:pPr>
    </w:p>
    <w:p w:rsidR="00DE05C4" w:rsidRDefault="006E4D14">
      <w:pPr>
        <w:pStyle w:val="RedTxt"/>
        <w:jc w:val="both"/>
        <w:rPr>
          <w:sz w:val="20"/>
          <w:szCs w:val="20"/>
        </w:rPr>
      </w:pPr>
      <w:r>
        <w:rPr>
          <w:b/>
          <w:bCs/>
          <w:sz w:val="20"/>
          <w:szCs w:val="20"/>
        </w:rPr>
        <w:t>Critères de sélection des candidatures :</w:t>
      </w:r>
    </w:p>
    <w:p w:rsidR="00434F20" w:rsidRDefault="00434F20" w:rsidP="00434F20">
      <w:pPr>
        <w:pStyle w:val="RedTxt"/>
        <w:jc w:val="both"/>
        <w:rPr>
          <w:sz w:val="20"/>
          <w:szCs w:val="20"/>
        </w:rPr>
      </w:pPr>
      <w:r>
        <w:rPr>
          <w:sz w:val="20"/>
          <w:szCs w:val="20"/>
        </w:rPr>
        <w:t xml:space="preserve">    1. Garanties professionnelles techniques et financières</w:t>
      </w:r>
    </w:p>
    <w:p w:rsidR="00434F20" w:rsidRDefault="00434F20" w:rsidP="00434F20">
      <w:pPr>
        <w:pStyle w:val="RedTxt"/>
        <w:jc w:val="both"/>
        <w:rPr>
          <w:sz w:val="20"/>
          <w:szCs w:val="20"/>
        </w:rPr>
      </w:pPr>
      <w:r>
        <w:rPr>
          <w:sz w:val="20"/>
          <w:szCs w:val="20"/>
        </w:rPr>
        <w:t xml:space="preserve">    2. Références pour des prestations similaires à l'objet de l'appel d'offres</w:t>
      </w:r>
    </w:p>
    <w:p w:rsidR="00DE05C4" w:rsidRDefault="00DE05C4">
      <w:pPr>
        <w:pStyle w:val="RedTxt"/>
        <w:jc w:val="both"/>
      </w:pPr>
    </w:p>
    <w:p w:rsidR="00DE05C4" w:rsidRDefault="006E4D14">
      <w:pPr>
        <w:pStyle w:val="RedTxt"/>
        <w:jc w:val="both"/>
        <w:rPr>
          <w:sz w:val="20"/>
          <w:szCs w:val="20"/>
        </w:rPr>
      </w:pPr>
      <w:r>
        <w:rPr>
          <w:b/>
          <w:bCs/>
          <w:sz w:val="20"/>
          <w:szCs w:val="20"/>
        </w:rPr>
        <w:t>Critères de jugement des offres :</w:t>
      </w:r>
    </w:p>
    <w:p w:rsidR="00DE05C4" w:rsidRDefault="006E4D14">
      <w:pPr>
        <w:pStyle w:val="RedTxt"/>
        <w:jc w:val="both"/>
        <w:rPr>
          <w:sz w:val="20"/>
          <w:szCs w:val="20"/>
        </w:rPr>
      </w:pPr>
      <w:r>
        <w:rPr>
          <w:sz w:val="20"/>
          <w:szCs w:val="20"/>
        </w:rPr>
        <w:t xml:space="preserve">    1. Valeur technique de l'offre</w:t>
      </w:r>
      <w:r w:rsidR="00434F20">
        <w:rPr>
          <w:sz w:val="20"/>
          <w:szCs w:val="20"/>
        </w:rPr>
        <w:t xml:space="preserve"> (50%)</w:t>
      </w:r>
    </w:p>
    <w:p w:rsidR="00DE05C4" w:rsidRDefault="006E4D14">
      <w:pPr>
        <w:pStyle w:val="RedTxt"/>
        <w:jc w:val="both"/>
        <w:rPr>
          <w:sz w:val="20"/>
          <w:szCs w:val="20"/>
        </w:rPr>
      </w:pPr>
      <w:r>
        <w:rPr>
          <w:sz w:val="20"/>
          <w:szCs w:val="20"/>
        </w:rPr>
        <w:t xml:space="preserve">    2. Prix des prestations</w:t>
      </w:r>
      <w:r w:rsidR="00434F20">
        <w:rPr>
          <w:sz w:val="20"/>
          <w:szCs w:val="20"/>
        </w:rPr>
        <w:t xml:space="preserve"> (50%)</w:t>
      </w:r>
    </w:p>
    <w:p w:rsidR="00DE05C4" w:rsidRDefault="00DE05C4">
      <w:pPr>
        <w:pStyle w:val="RedTxt"/>
        <w:jc w:val="both"/>
        <w:rPr>
          <w:sz w:val="20"/>
          <w:szCs w:val="20"/>
        </w:rPr>
      </w:pPr>
    </w:p>
    <w:p w:rsidR="00DE05C4" w:rsidRDefault="00DE05C4">
      <w:pPr>
        <w:pStyle w:val="RedTxt"/>
        <w:jc w:val="both"/>
        <w:rPr>
          <w:sz w:val="20"/>
          <w:szCs w:val="20"/>
        </w:rPr>
      </w:pPr>
    </w:p>
    <w:p w:rsidR="00DE05C4" w:rsidRDefault="006E4D14">
      <w:pPr>
        <w:pStyle w:val="RedTxt"/>
        <w:jc w:val="both"/>
        <w:rPr>
          <w:sz w:val="20"/>
          <w:szCs w:val="20"/>
        </w:rPr>
      </w:pPr>
      <w:r>
        <w:rPr>
          <w:sz w:val="20"/>
          <w:szCs w:val="20"/>
        </w:rPr>
        <w:t xml:space="preserve">En cas de discordance constatée dans une offre entre le montant porté à l'acte d'engagement et celui porté sur </w:t>
      </w:r>
      <w:r w:rsidR="00434F20">
        <w:rPr>
          <w:sz w:val="20"/>
          <w:szCs w:val="20"/>
        </w:rPr>
        <w:t>le devis détaillé</w:t>
      </w:r>
      <w:r>
        <w:rPr>
          <w:sz w:val="20"/>
          <w:szCs w:val="20"/>
        </w:rPr>
        <w:t xml:space="preserve">, seul le montant porté à l'acte d'engagement prévaudra et fera foi. Dans le cas où des erreurs de multiplication, d'addition ou de report seront constatées dans </w:t>
      </w:r>
      <w:r w:rsidR="003028F7">
        <w:rPr>
          <w:sz w:val="20"/>
          <w:szCs w:val="20"/>
        </w:rPr>
        <w:t>le devis détaillé</w:t>
      </w:r>
      <w:r>
        <w:rPr>
          <w:sz w:val="20"/>
          <w:szCs w:val="20"/>
        </w:rPr>
        <w:t>, il n'en sera pas tenu compte dans le jugement de la consultation.</w:t>
      </w:r>
    </w:p>
    <w:p w:rsidR="00DE05C4" w:rsidRDefault="00DE05C4">
      <w:pPr>
        <w:pStyle w:val="RedTxt"/>
        <w:jc w:val="both"/>
        <w:rPr>
          <w:sz w:val="20"/>
          <w:szCs w:val="20"/>
        </w:rPr>
      </w:pPr>
    </w:p>
    <w:p w:rsidR="003028F7" w:rsidRDefault="006E4D14">
      <w:pPr>
        <w:pStyle w:val="RedTxt"/>
        <w:jc w:val="both"/>
        <w:rPr>
          <w:sz w:val="20"/>
          <w:szCs w:val="20"/>
        </w:rPr>
      </w:pPr>
      <w:r>
        <w:rPr>
          <w:sz w:val="20"/>
          <w:szCs w:val="20"/>
        </w:rPr>
        <w:t xml:space="preserve">Conformément à l'article 60 du Décret n° 2016-360 du 25 mars 2016, toute offre paraissant anormalement basse fera l'objet </w:t>
      </w:r>
      <w:proofErr w:type="gramStart"/>
      <w:r>
        <w:rPr>
          <w:sz w:val="20"/>
          <w:szCs w:val="20"/>
        </w:rPr>
        <w:t>d'un</w:t>
      </w:r>
      <w:proofErr w:type="gramEnd"/>
      <w:r>
        <w:rPr>
          <w:sz w:val="20"/>
          <w:szCs w:val="20"/>
        </w:rPr>
        <w:t xml:space="preserve"> demande écrite de précisions assortie d'un délai impératif de réponse. Après vérification des justificatifs fournis par le candidat concerné, l'offre sera soit maintenue dans l'analyse des offres, soit rejetée par décision motivée.</w:t>
      </w:r>
    </w:p>
    <w:p w:rsidR="003028F7" w:rsidRDefault="003028F7">
      <w:pPr>
        <w:pStyle w:val="RedTxt"/>
        <w:jc w:val="both"/>
        <w:rPr>
          <w:sz w:val="20"/>
          <w:szCs w:val="20"/>
        </w:rPr>
      </w:pPr>
    </w:p>
    <w:p w:rsidR="003028F7" w:rsidRDefault="003028F7">
      <w:pPr>
        <w:pStyle w:val="RedTxt"/>
        <w:jc w:val="both"/>
        <w:rPr>
          <w:sz w:val="20"/>
          <w:szCs w:val="20"/>
        </w:rPr>
      </w:pPr>
    </w:p>
    <w:p w:rsidR="003028F7" w:rsidRDefault="003028F7">
      <w:pPr>
        <w:pStyle w:val="RedTxt"/>
        <w:jc w:val="both"/>
        <w:rPr>
          <w:sz w:val="20"/>
          <w:szCs w:val="20"/>
        </w:rPr>
      </w:pPr>
    </w:p>
    <w:p w:rsidR="003028F7" w:rsidRDefault="003028F7">
      <w:pPr>
        <w:pStyle w:val="RedTxt"/>
        <w:jc w:val="both"/>
        <w:rPr>
          <w:sz w:val="20"/>
          <w:szCs w:val="20"/>
        </w:rPr>
      </w:pPr>
    </w:p>
    <w:p w:rsidR="00DE05C4" w:rsidRDefault="006E4D14">
      <w:pPr>
        <w:pStyle w:val="RedTxt"/>
        <w:jc w:val="both"/>
        <w:rPr>
          <w:sz w:val="20"/>
          <w:szCs w:val="20"/>
        </w:rPr>
      </w:pPr>
      <w:r>
        <w:rPr>
          <w:sz w:val="20"/>
          <w:szCs w:val="20"/>
        </w:rPr>
        <w:t xml:space="preserve"> </w:t>
      </w:r>
    </w:p>
    <w:p w:rsidR="003028F7" w:rsidRDefault="003028F7">
      <w:pPr>
        <w:pStyle w:val="RedTxt"/>
        <w:jc w:val="both"/>
      </w:pPr>
    </w:p>
    <w:p w:rsidR="00DE05C4" w:rsidRDefault="006E4D14">
      <w:pPr>
        <w:pStyle w:val="RedTitre2"/>
        <w:pBdr>
          <w:top w:val="none" w:sz="0" w:space="0" w:color="auto"/>
          <w:left w:val="none" w:sz="0" w:space="0" w:color="auto"/>
          <w:bottom w:val="none" w:sz="0" w:space="0" w:color="auto"/>
          <w:right w:val="none" w:sz="0" w:space="0" w:color="auto"/>
        </w:pBdr>
        <w:shd w:val="pct5" w:color="auto" w:fill="auto"/>
        <w:spacing w:after="120"/>
      </w:pPr>
      <w:r>
        <w:lastRenderedPageBreak/>
        <w:t>Article  7 - Renseignements complémentaires</w:t>
      </w:r>
    </w:p>
    <w:p w:rsidR="00DE05C4" w:rsidRDefault="00DE05C4">
      <w:pPr>
        <w:pStyle w:val="RedTxt"/>
        <w:jc w:val="both"/>
        <w:rPr>
          <w:sz w:val="20"/>
          <w:szCs w:val="20"/>
        </w:rPr>
      </w:pPr>
    </w:p>
    <w:p w:rsidR="00DE05C4" w:rsidRDefault="006E4D14">
      <w:pPr>
        <w:pStyle w:val="RedTxt"/>
        <w:jc w:val="both"/>
        <w:rPr>
          <w:sz w:val="20"/>
          <w:szCs w:val="20"/>
        </w:rPr>
      </w:pPr>
      <w:r>
        <w:rPr>
          <w:b/>
          <w:bCs/>
          <w:sz w:val="20"/>
          <w:szCs w:val="20"/>
          <w:u w:val="single"/>
        </w:rPr>
        <w:t>1) Renseignements administratifs</w:t>
      </w:r>
    </w:p>
    <w:p w:rsidR="00DE05C4" w:rsidRDefault="00DE05C4">
      <w:pPr>
        <w:pStyle w:val="RedTxt"/>
        <w:jc w:val="both"/>
        <w:rPr>
          <w:sz w:val="20"/>
          <w:szCs w:val="20"/>
        </w:rPr>
      </w:pPr>
    </w:p>
    <w:p w:rsidR="00DE05C4" w:rsidRDefault="006E4D14">
      <w:pPr>
        <w:pStyle w:val="RedTxt"/>
        <w:jc w:val="both"/>
        <w:rPr>
          <w:sz w:val="20"/>
          <w:szCs w:val="20"/>
        </w:rPr>
      </w:pPr>
      <w:r>
        <w:rPr>
          <w:sz w:val="20"/>
          <w:szCs w:val="20"/>
        </w:rPr>
        <w:t>Correspondant : Grégory LECOINTE</w:t>
      </w:r>
    </w:p>
    <w:p w:rsidR="00DE05C4" w:rsidRDefault="006E4D14">
      <w:pPr>
        <w:pStyle w:val="RedTxt"/>
        <w:jc w:val="both"/>
        <w:rPr>
          <w:sz w:val="20"/>
          <w:szCs w:val="20"/>
        </w:rPr>
      </w:pPr>
      <w:r>
        <w:rPr>
          <w:sz w:val="20"/>
          <w:szCs w:val="20"/>
        </w:rPr>
        <w:t xml:space="preserve">Adresse : </w:t>
      </w:r>
      <w:r w:rsidR="003028F7">
        <w:rPr>
          <w:sz w:val="20"/>
          <w:szCs w:val="20"/>
        </w:rPr>
        <w:tab/>
      </w:r>
      <w:r>
        <w:rPr>
          <w:sz w:val="20"/>
          <w:szCs w:val="20"/>
        </w:rPr>
        <w:t xml:space="preserve"> Société d'Exploitation</w:t>
      </w:r>
    </w:p>
    <w:p w:rsidR="00DE05C4" w:rsidRDefault="006E4D14">
      <w:pPr>
        <w:pStyle w:val="RedTxt"/>
        <w:jc w:val="both"/>
        <w:rPr>
          <w:sz w:val="20"/>
          <w:szCs w:val="20"/>
        </w:rPr>
      </w:pPr>
      <w:r>
        <w:rPr>
          <w:sz w:val="20"/>
          <w:szCs w:val="20"/>
        </w:rPr>
        <w:t xml:space="preserve">                 </w:t>
      </w:r>
      <w:proofErr w:type="gramStart"/>
      <w:r>
        <w:rPr>
          <w:sz w:val="20"/>
          <w:szCs w:val="20"/>
        </w:rPr>
        <w:t>des</w:t>
      </w:r>
      <w:proofErr w:type="gramEnd"/>
      <w:r>
        <w:rPr>
          <w:sz w:val="20"/>
          <w:szCs w:val="20"/>
        </w:rPr>
        <w:t xml:space="preserve"> Ports du Détroit</w:t>
      </w:r>
    </w:p>
    <w:p w:rsidR="00DE05C4" w:rsidRDefault="006E4D14">
      <w:pPr>
        <w:pStyle w:val="RedTxt"/>
        <w:jc w:val="both"/>
        <w:rPr>
          <w:sz w:val="20"/>
          <w:szCs w:val="20"/>
        </w:rPr>
      </w:pPr>
      <w:r>
        <w:rPr>
          <w:sz w:val="20"/>
          <w:szCs w:val="20"/>
        </w:rPr>
        <w:t xml:space="preserve">                 Port de</w:t>
      </w:r>
      <w:r w:rsidR="003028F7">
        <w:rPr>
          <w:sz w:val="20"/>
          <w:szCs w:val="20"/>
        </w:rPr>
        <w:t xml:space="preserve"> Boulogne</w:t>
      </w:r>
      <w:r>
        <w:rPr>
          <w:sz w:val="20"/>
          <w:szCs w:val="20"/>
        </w:rPr>
        <w:t xml:space="preserve"> Calais - Service Marchés</w:t>
      </w:r>
    </w:p>
    <w:p w:rsidR="00DE05C4" w:rsidRDefault="006E4D14">
      <w:pPr>
        <w:pStyle w:val="RedTxt"/>
        <w:jc w:val="both"/>
        <w:rPr>
          <w:sz w:val="20"/>
          <w:szCs w:val="20"/>
        </w:rPr>
      </w:pPr>
      <w:r>
        <w:rPr>
          <w:sz w:val="20"/>
          <w:szCs w:val="20"/>
        </w:rPr>
        <w:t xml:space="preserve">                 24, bd des Alliés</w:t>
      </w:r>
    </w:p>
    <w:p w:rsidR="00DE05C4" w:rsidRDefault="006E4D14">
      <w:pPr>
        <w:pStyle w:val="RedTxt"/>
        <w:jc w:val="both"/>
        <w:rPr>
          <w:sz w:val="20"/>
          <w:szCs w:val="20"/>
        </w:rPr>
      </w:pPr>
      <w:r>
        <w:rPr>
          <w:sz w:val="20"/>
          <w:szCs w:val="20"/>
        </w:rPr>
        <w:t xml:space="preserve">                 C.S. 90283</w:t>
      </w:r>
    </w:p>
    <w:p w:rsidR="00DE05C4" w:rsidRDefault="006E4D14">
      <w:pPr>
        <w:pStyle w:val="RedTxt"/>
        <w:jc w:val="both"/>
        <w:rPr>
          <w:sz w:val="20"/>
          <w:szCs w:val="20"/>
        </w:rPr>
      </w:pPr>
      <w:r>
        <w:rPr>
          <w:sz w:val="20"/>
          <w:szCs w:val="20"/>
        </w:rPr>
        <w:t xml:space="preserve">                 62105 CALAIS CEDEX</w:t>
      </w:r>
    </w:p>
    <w:p w:rsidR="00DE05C4" w:rsidRDefault="00DE05C4">
      <w:pPr>
        <w:pStyle w:val="RedTxt"/>
        <w:jc w:val="both"/>
        <w:rPr>
          <w:sz w:val="20"/>
          <w:szCs w:val="20"/>
        </w:rPr>
      </w:pPr>
    </w:p>
    <w:p w:rsidR="00DE05C4" w:rsidRDefault="006E4D14">
      <w:pPr>
        <w:pStyle w:val="RedTxt"/>
        <w:jc w:val="both"/>
        <w:rPr>
          <w:sz w:val="20"/>
          <w:szCs w:val="20"/>
        </w:rPr>
      </w:pPr>
      <w:r>
        <w:rPr>
          <w:sz w:val="20"/>
          <w:szCs w:val="20"/>
        </w:rPr>
        <w:t>Téléphone : 03.21.46.29.</w:t>
      </w:r>
      <w:r w:rsidR="003028F7">
        <w:rPr>
          <w:sz w:val="20"/>
          <w:szCs w:val="20"/>
        </w:rPr>
        <w:t>74</w:t>
      </w:r>
    </w:p>
    <w:p w:rsidR="00DE05C4" w:rsidRDefault="006E4D14">
      <w:pPr>
        <w:pStyle w:val="RedTxt"/>
        <w:jc w:val="both"/>
        <w:rPr>
          <w:sz w:val="20"/>
          <w:szCs w:val="20"/>
        </w:rPr>
      </w:pPr>
      <w:r>
        <w:rPr>
          <w:sz w:val="20"/>
          <w:szCs w:val="20"/>
        </w:rPr>
        <w:t xml:space="preserve">Fax : 03.21.46.29.30     </w:t>
      </w:r>
    </w:p>
    <w:p w:rsidR="00DE05C4" w:rsidRDefault="006E4D14">
      <w:pPr>
        <w:pStyle w:val="RedTxt"/>
        <w:jc w:val="both"/>
        <w:rPr>
          <w:sz w:val="20"/>
          <w:szCs w:val="20"/>
        </w:rPr>
      </w:pPr>
      <w:r>
        <w:rPr>
          <w:sz w:val="20"/>
          <w:szCs w:val="20"/>
        </w:rPr>
        <w:t>Courriel : gregory.lecointe@portboulognecalais.fr</w:t>
      </w:r>
    </w:p>
    <w:p w:rsidR="00DE05C4" w:rsidRDefault="006E4D14">
      <w:pPr>
        <w:pStyle w:val="RedTxt"/>
        <w:jc w:val="both"/>
        <w:rPr>
          <w:sz w:val="20"/>
          <w:szCs w:val="20"/>
        </w:rPr>
      </w:pPr>
      <w:r>
        <w:rPr>
          <w:sz w:val="20"/>
          <w:szCs w:val="20"/>
        </w:rPr>
        <w:t>Adresse internet : http://www.portboulognecalais.fr</w:t>
      </w:r>
    </w:p>
    <w:p w:rsidR="00DE05C4" w:rsidRDefault="00DE05C4">
      <w:pPr>
        <w:pStyle w:val="RedTxt"/>
        <w:jc w:val="both"/>
        <w:rPr>
          <w:sz w:val="20"/>
          <w:szCs w:val="20"/>
        </w:rPr>
      </w:pPr>
    </w:p>
    <w:p w:rsidR="00DE05C4" w:rsidRDefault="006E4D14">
      <w:pPr>
        <w:pStyle w:val="RedTxt"/>
        <w:jc w:val="both"/>
        <w:rPr>
          <w:sz w:val="20"/>
          <w:szCs w:val="20"/>
        </w:rPr>
      </w:pPr>
      <w:r>
        <w:rPr>
          <w:b/>
          <w:bCs/>
          <w:sz w:val="20"/>
          <w:szCs w:val="20"/>
          <w:u w:val="single"/>
        </w:rPr>
        <w:t>2) Renseignements techniques</w:t>
      </w:r>
    </w:p>
    <w:p w:rsidR="00DE05C4" w:rsidRDefault="00DE05C4">
      <w:pPr>
        <w:pStyle w:val="RedTxt"/>
        <w:jc w:val="both"/>
        <w:rPr>
          <w:sz w:val="20"/>
          <w:szCs w:val="20"/>
        </w:rPr>
      </w:pPr>
    </w:p>
    <w:p w:rsidR="00DE05C4" w:rsidRDefault="006E4D14">
      <w:pPr>
        <w:pStyle w:val="RedTxt"/>
        <w:jc w:val="both"/>
        <w:rPr>
          <w:sz w:val="20"/>
          <w:szCs w:val="20"/>
        </w:rPr>
      </w:pPr>
      <w:r>
        <w:rPr>
          <w:sz w:val="20"/>
          <w:szCs w:val="20"/>
        </w:rPr>
        <w:t>Correspondant : Frédéric LEBLOND</w:t>
      </w:r>
    </w:p>
    <w:p w:rsidR="00DE05C4" w:rsidRDefault="006E4D14">
      <w:pPr>
        <w:pStyle w:val="RedTxt"/>
        <w:jc w:val="both"/>
        <w:rPr>
          <w:sz w:val="20"/>
          <w:szCs w:val="20"/>
        </w:rPr>
      </w:pPr>
      <w:r>
        <w:rPr>
          <w:sz w:val="20"/>
          <w:szCs w:val="20"/>
        </w:rPr>
        <w:t xml:space="preserve">Adresse :  </w:t>
      </w:r>
      <w:r w:rsidR="003028F7">
        <w:rPr>
          <w:sz w:val="20"/>
          <w:szCs w:val="20"/>
        </w:rPr>
        <w:tab/>
        <w:t xml:space="preserve"> </w:t>
      </w:r>
      <w:r>
        <w:rPr>
          <w:sz w:val="20"/>
          <w:szCs w:val="20"/>
        </w:rPr>
        <w:t>Société d'Exploitation</w:t>
      </w:r>
    </w:p>
    <w:p w:rsidR="00DE05C4" w:rsidRDefault="006E4D14">
      <w:pPr>
        <w:pStyle w:val="RedTxt"/>
        <w:jc w:val="both"/>
        <w:rPr>
          <w:sz w:val="20"/>
          <w:szCs w:val="20"/>
        </w:rPr>
      </w:pPr>
      <w:r>
        <w:rPr>
          <w:sz w:val="20"/>
          <w:szCs w:val="20"/>
        </w:rPr>
        <w:t xml:space="preserve">                 </w:t>
      </w:r>
      <w:proofErr w:type="gramStart"/>
      <w:r>
        <w:rPr>
          <w:sz w:val="20"/>
          <w:szCs w:val="20"/>
        </w:rPr>
        <w:t>des</w:t>
      </w:r>
      <w:proofErr w:type="gramEnd"/>
      <w:r>
        <w:rPr>
          <w:sz w:val="20"/>
          <w:szCs w:val="20"/>
        </w:rPr>
        <w:t xml:space="preserve"> Ports du Détroit</w:t>
      </w:r>
    </w:p>
    <w:p w:rsidR="00DE05C4" w:rsidRDefault="006E4D14">
      <w:pPr>
        <w:pStyle w:val="RedTxt"/>
        <w:jc w:val="both"/>
        <w:rPr>
          <w:sz w:val="20"/>
          <w:szCs w:val="20"/>
        </w:rPr>
      </w:pPr>
      <w:r>
        <w:rPr>
          <w:sz w:val="20"/>
          <w:szCs w:val="20"/>
        </w:rPr>
        <w:t xml:space="preserve">                 Port de </w:t>
      </w:r>
      <w:r w:rsidR="003028F7">
        <w:rPr>
          <w:sz w:val="20"/>
          <w:szCs w:val="20"/>
        </w:rPr>
        <w:t xml:space="preserve">Boulogne </w:t>
      </w:r>
      <w:r>
        <w:rPr>
          <w:sz w:val="20"/>
          <w:szCs w:val="20"/>
        </w:rPr>
        <w:t>Calais</w:t>
      </w:r>
    </w:p>
    <w:p w:rsidR="00DE05C4" w:rsidRDefault="006E4D14">
      <w:pPr>
        <w:pStyle w:val="RedTxt"/>
        <w:jc w:val="both"/>
        <w:rPr>
          <w:sz w:val="20"/>
          <w:szCs w:val="20"/>
        </w:rPr>
      </w:pPr>
      <w:r>
        <w:rPr>
          <w:sz w:val="20"/>
          <w:szCs w:val="20"/>
        </w:rPr>
        <w:t xml:space="preserve">                 24, bd des Alliés</w:t>
      </w:r>
    </w:p>
    <w:p w:rsidR="00DE05C4" w:rsidRDefault="006E4D14">
      <w:pPr>
        <w:pStyle w:val="RedTxt"/>
        <w:jc w:val="both"/>
        <w:rPr>
          <w:sz w:val="20"/>
          <w:szCs w:val="20"/>
        </w:rPr>
      </w:pPr>
      <w:r>
        <w:rPr>
          <w:sz w:val="20"/>
          <w:szCs w:val="20"/>
        </w:rPr>
        <w:t xml:space="preserve">                 C.S. 90283</w:t>
      </w:r>
    </w:p>
    <w:p w:rsidR="00DE05C4" w:rsidRDefault="006E4D14">
      <w:pPr>
        <w:pStyle w:val="RedTxt"/>
        <w:jc w:val="both"/>
        <w:rPr>
          <w:sz w:val="20"/>
          <w:szCs w:val="20"/>
        </w:rPr>
      </w:pPr>
      <w:r>
        <w:rPr>
          <w:sz w:val="20"/>
          <w:szCs w:val="20"/>
        </w:rPr>
        <w:t xml:space="preserve">                 62105 CALAIS CEDEX</w:t>
      </w:r>
    </w:p>
    <w:p w:rsidR="00DE05C4" w:rsidRDefault="00DE05C4">
      <w:pPr>
        <w:pStyle w:val="RedTxt"/>
        <w:jc w:val="both"/>
        <w:rPr>
          <w:sz w:val="20"/>
          <w:szCs w:val="20"/>
        </w:rPr>
      </w:pPr>
    </w:p>
    <w:p w:rsidR="00DE05C4" w:rsidRDefault="006E4D14">
      <w:pPr>
        <w:pStyle w:val="RedTxt"/>
        <w:jc w:val="both"/>
        <w:rPr>
          <w:sz w:val="20"/>
          <w:szCs w:val="20"/>
        </w:rPr>
      </w:pPr>
      <w:r>
        <w:rPr>
          <w:sz w:val="20"/>
          <w:szCs w:val="20"/>
        </w:rPr>
        <w:t>Téléphone : 03.21.46.29.35</w:t>
      </w:r>
    </w:p>
    <w:p w:rsidR="00DE05C4" w:rsidRDefault="006E4D14">
      <w:pPr>
        <w:pStyle w:val="RedTxt"/>
        <w:jc w:val="both"/>
        <w:rPr>
          <w:sz w:val="20"/>
          <w:szCs w:val="20"/>
        </w:rPr>
      </w:pPr>
      <w:r>
        <w:rPr>
          <w:sz w:val="20"/>
          <w:szCs w:val="20"/>
        </w:rPr>
        <w:t xml:space="preserve">Fax :      </w:t>
      </w:r>
    </w:p>
    <w:p w:rsidR="00DE05C4" w:rsidRDefault="006E4D14">
      <w:pPr>
        <w:pStyle w:val="RedTxt"/>
        <w:jc w:val="both"/>
        <w:rPr>
          <w:sz w:val="20"/>
          <w:szCs w:val="20"/>
        </w:rPr>
      </w:pPr>
      <w:r>
        <w:rPr>
          <w:sz w:val="20"/>
          <w:szCs w:val="20"/>
        </w:rPr>
        <w:t xml:space="preserve">Courriel : </w:t>
      </w:r>
      <w:r w:rsidR="003028F7">
        <w:rPr>
          <w:sz w:val="20"/>
          <w:szCs w:val="20"/>
        </w:rPr>
        <w:t>frederic.leblond@portboulognecalais.fr</w:t>
      </w:r>
    </w:p>
    <w:p w:rsidR="00DE05C4" w:rsidRDefault="006E4D14">
      <w:pPr>
        <w:pStyle w:val="RedTxt"/>
        <w:jc w:val="both"/>
        <w:rPr>
          <w:sz w:val="20"/>
          <w:szCs w:val="20"/>
        </w:rPr>
      </w:pPr>
      <w:r>
        <w:rPr>
          <w:sz w:val="20"/>
          <w:szCs w:val="20"/>
        </w:rPr>
        <w:t>Adresse internet : http://www.portboulognecalais.fr</w:t>
      </w:r>
    </w:p>
    <w:p w:rsidR="00DE05C4" w:rsidRDefault="00DE05C4">
      <w:pPr>
        <w:pStyle w:val="RedTxt"/>
        <w:jc w:val="both"/>
        <w:rPr>
          <w:sz w:val="20"/>
          <w:szCs w:val="20"/>
        </w:rPr>
      </w:pPr>
    </w:p>
    <w:p w:rsidR="00DE05C4" w:rsidRDefault="006E4D14">
      <w:pPr>
        <w:pStyle w:val="RedTxt"/>
        <w:jc w:val="both"/>
        <w:rPr>
          <w:sz w:val="20"/>
          <w:szCs w:val="20"/>
        </w:rPr>
      </w:pPr>
      <w:r>
        <w:rPr>
          <w:b/>
          <w:bCs/>
          <w:sz w:val="20"/>
          <w:szCs w:val="20"/>
          <w:u w:val="single"/>
        </w:rPr>
        <w:t>3) Voies et délais de recours</w:t>
      </w:r>
    </w:p>
    <w:p w:rsidR="00DE05C4" w:rsidRDefault="006E4D14">
      <w:pPr>
        <w:pStyle w:val="RedTxt"/>
        <w:jc w:val="both"/>
        <w:rPr>
          <w:sz w:val="20"/>
          <w:szCs w:val="20"/>
        </w:rPr>
      </w:pPr>
      <w:r>
        <w:rPr>
          <w:sz w:val="20"/>
          <w:szCs w:val="20"/>
        </w:rPr>
        <w:t xml:space="preserve">Instance chargée des procédures de recours : Tribunal Administratif de Lille, 143 Rue </w:t>
      </w:r>
      <w:proofErr w:type="spellStart"/>
      <w:r>
        <w:rPr>
          <w:sz w:val="20"/>
          <w:szCs w:val="20"/>
        </w:rPr>
        <w:t>Jacquemars</w:t>
      </w:r>
      <w:proofErr w:type="spellEnd"/>
      <w:r>
        <w:rPr>
          <w:sz w:val="20"/>
          <w:szCs w:val="20"/>
        </w:rPr>
        <w:t xml:space="preserve"> </w:t>
      </w:r>
      <w:proofErr w:type="spellStart"/>
      <w:r>
        <w:rPr>
          <w:sz w:val="20"/>
          <w:szCs w:val="20"/>
        </w:rPr>
        <w:t>Giélée</w:t>
      </w:r>
      <w:proofErr w:type="spellEnd"/>
      <w:r>
        <w:rPr>
          <w:sz w:val="20"/>
          <w:szCs w:val="20"/>
        </w:rPr>
        <w:t>, 59800 Lille ; Tél : 03.20.63.13.00, Fax : 03.20.63.13.47</w:t>
      </w:r>
    </w:p>
    <w:p w:rsidR="00DE05C4" w:rsidRDefault="00DE05C4">
      <w:pPr>
        <w:pStyle w:val="RedTxt"/>
        <w:jc w:val="both"/>
        <w:rPr>
          <w:sz w:val="20"/>
          <w:szCs w:val="20"/>
        </w:rPr>
      </w:pPr>
    </w:p>
    <w:p w:rsidR="00DE05C4" w:rsidRDefault="006E4D14">
      <w:pPr>
        <w:pStyle w:val="RedTxt"/>
        <w:jc w:val="both"/>
        <w:rPr>
          <w:sz w:val="20"/>
          <w:szCs w:val="20"/>
        </w:rPr>
      </w:pPr>
      <w:r>
        <w:rPr>
          <w:sz w:val="20"/>
          <w:szCs w:val="20"/>
        </w:rPr>
        <w:t>Précisions concernant le(s) délai(s) d'introduction des recours : le candidat dispose d'un délai de deux mois à compter de la réception de la lettre de notification de refus de leur offre envoyée par la CCIC pour engager un recours.</w:t>
      </w:r>
    </w:p>
    <w:p w:rsidR="00DE05C4" w:rsidRDefault="00DE05C4">
      <w:pPr>
        <w:pStyle w:val="RedTxt"/>
        <w:jc w:val="both"/>
      </w:pPr>
    </w:p>
    <w:p w:rsidR="00DE05C4" w:rsidRDefault="00DE05C4">
      <w:pPr>
        <w:widowControl/>
        <w:rPr>
          <w:rFonts w:ascii="Times New Roman" w:hAnsi="Times New Roman" w:cs="Times New Roman"/>
        </w:rPr>
      </w:pPr>
    </w:p>
    <w:sectPr w:rsidR="00DE05C4">
      <w:footerReference w:type="default" r:id="rId12"/>
      <w:pgSz w:w="11906" w:h="16838"/>
      <w:pgMar w:top="1417" w:right="1417" w:bottom="1417" w:left="1417"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5C4" w:rsidRDefault="006E4D14">
      <w:pPr>
        <w:rPr>
          <w:rFonts w:ascii="Times New Roman" w:hAnsi="Times New Roman" w:cs="Times New Roman"/>
        </w:rPr>
      </w:pPr>
      <w:r>
        <w:rPr>
          <w:rFonts w:ascii="Times New Roman" w:hAnsi="Times New Roman" w:cs="Times New Roman"/>
        </w:rPr>
        <w:separator/>
      </w:r>
    </w:p>
  </w:endnote>
  <w:endnote w:type="continuationSeparator" w:id="0">
    <w:p w:rsidR="00DE05C4" w:rsidRDefault="006E4D14">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Helvetica"/>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5C4" w:rsidRDefault="006E4D14">
    <w:pPr>
      <w:pStyle w:val="Pieddepage"/>
      <w:widowControl/>
      <w:jc w:val="both"/>
      <w:rPr>
        <w:sz w:val="16"/>
        <w:szCs w:val="16"/>
      </w:rPr>
    </w:pPr>
    <w:r>
      <w:rPr>
        <w:sz w:val="16"/>
        <w:szCs w:val="16"/>
      </w:rPr>
      <w:t xml:space="preserve">  ____________________________________________________________________________________________________</w:t>
    </w:r>
  </w:p>
  <w:tbl>
    <w:tblPr>
      <w:tblW w:w="0" w:type="auto"/>
      <w:tblLayout w:type="fixed"/>
      <w:tblCellMar>
        <w:left w:w="71" w:type="dxa"/>
        <w:right w:w="71" w:type="dxa"/>
      </w:tblCellMar>
      <w:tblLook w:val="0000" w:firstRow="0" w:lastRow="0" w:firstColumn="0" w:lastColumn="0" w:noHBand="0" w:noVBand="0"/>
    </w:tblPr>
    <w:tblGrid>
      <w:gridCol w:w="7938"/>
      <w:gridCol w:w="1304"/>
    </w:tblGrid>
    <w:tr w:rsidR="00DE05C4">
      <w:tc>
        <w:tcPr>
          <w:tcW w:w="7938" w:type="dxa"/>
          <w:tcBorders>
            <w:top w:val="nil"/>
            <w:left w:val="nil"/>
            <w:bottom w:val="nil"/>
            <w:right w:val="nil"/>
          </w:tcBorders>
        </w:tcPr>
        <w:p w:rsidR="00DE05C4" w:rsidRDefault="006E4D14">
          <w:pPr>
            <w:pStyle w:val="Pieddepage"/>
            <w:widowControl/>
            <w:tabs>
              <w:tab w:val="clear" w:pos="4819"/>
              <w:tab w:val="clear" w:pos="9071"/>
            </w:tabs>
            <w:jc w:val="both"/>
            <w:rPr>
              <w:sz w:val="16"/>
              <w:szCs w:val="16"/>
            </w:rPr>
          </w:pPr>
          <w:r>
            <w:rPr>
              <w:sz w:val="16"/>
              <w:szCs w:val="16"/>
            </w:rPr>
            <w:t xml:space="preserve">Affaire n° 17S0006  -  Renouvellement de la maintenance </w:t>
          </w:r>
          <w:proofErr w:type="spellStart"/>
          <w:r>
            <w:rPr>
              <w:sz w:val="16"/>
              <w:szCs w:val="16"/>
            </w:rPr>
            <w:t>antispam</w:t>
          </w:r>
          <w:proofErr w:type="spellEnd"/>
          <w:r>
            <w:rPr>
              <w:sz w:val="16"/>
              <w:szCs w:val="16"/>
            </w:rPr>
            <w:t xml:space="preserve"> </w:t>
          </w:r>
        </w:p>
      </w:tc>
      <w:tc>
        <w:tcPr>
          <w:tcW w:w="1304" w:type="dxa"/>
          <w:tcBorders>
            <w:top w:val="nil"/>
            <w:left w:val="nil"/>
            <w:bottom w:val="nil"/>
            <w:right w:val="nil"/>
          </w:tcBorders>
        </w:tcPr>
        <w:p w:rsidR="00DE05C4" w:rsidRDefault="006E4D14">
          <w:pPr>
            <w:pStyle w:val="Pieddepage"/>
            <w:widowControl/>
            <w:tabs>
              <w:tab w:val="clear" w:pos="4819"/>
              <w:tab w:val="clear" w:pos="9071"/>
            </w:tabs>
            <w:jc w:val="right"/>
            <w:rPr>
              <w:rStyle w:val="Numrodepage"/>
              <w:rFonts w:ascii="Times New Roman" w:hAnsi="Times New Roman" w:cs="Times New Roman"/>
              <w:sz w:val="16"/>
              <w:szCs w:val="16"/>
            </w:rPr>
          </w:pP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sidR="000E68C0">
            <w:rPr>
              <w:noProof/>
              <w:sz w:val="16"/>
              <w:szCs w:val="16"/>
            </w:rPr>
            <w:t>5</w:t>
          </w:r>
          <w:r>
            <w:rPr>
              <w:sz w:val="16"/>
              <w:szCs w:val="16"/>
            </w:rPr>
            <w:fldChar w:fldCharType="end"/>
          </w:r>
          <w:r>
            <w:rPr>
              <w:sz w:val="16"/>
              <w:szCs w:val="16"/>
            </w:rPr>
            <w:t>/</w:t>
          </w:r>
          <w:r>
            <w:rPr>
              <w:sz w:val="16"/>
              <w:szCs w:val="16"/>
            </w:rPr>
            <w:fldChar w:fldCharType="begin"/>
          </w:r>
          <w:r>
            <w:rPr>
              <w:sz w:val="16"/>
              <w:szCs w:val="16"/>
            </w:rPr>
            <w:instrText xml:space="preserve"> NUMPAGES </w:instrText>
          </w:r>
          <w:r>
            <w:rPr>
              <w:sz w:val="16"/>
              <w:szCs w:val="16"/>
            </w:rPr>
            <w:fldChar w:fldCharType="separate"/>
          </w:r>
          <w:r w:rsidR="000E68C0">
            <w:rPr>
              <w:noProof/>
              <w:sz w:val="16"/>
              <w:szCs w:val="16"/>
            </w:rPr>
            <w:t>8</w:t>
          </w:r>
          <w:r>
            <w:rPr>
              <w:sz w:val="16"/>
              <w:szCs w:val="16"/>
            </w:rPr>
            <w:fldChar w:fldCharType="end"/>
          </w:r>
        </w:p>
      </w:tc>
    </w:tr>
  </w:tbl>
  <w:p w:rsidR="00DE05C4" w:rsidRDefault="006E4D14">
    <w:pPr>
      <w:pStyle w:val="Pieddepage"/>
      <w:widowControl/>
      <w:jc w:val="center"/>
      <w:rPr>
        <w:rStyle w:val="Numrodepage"/>
        <w:sz w:val="16"/>
        <w:szCs w:val="16"/>
      </w:rPr>
    </w:pPr>
    <w:r>
      <w:rPr>
        <w:rStyle w:val="Numrodepage"/>
        <w:sz w:val="16"/>
        <w:szCs w:val="16"/>
      </w:rPr>
      <w:t>REGLEMENT DE LA CONSULTATION</w:t>
    </w:r>
  </w:p>
  <w:p w:rsidR="00DE05C4" w:rsidRDefault="00DE05C4">
    <w:pPr>
      <w:pStyle w:val="Pieddepage"/>
      <w:widowControl/>
      <w:jc w:val="center"/>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5C4" w:rsidRDefault="006E4D14">
      <w:pPr>
        <w:rPr>
          <w:rFonts w:ascii="Times New Roman" w:hAnsi="Times New Roman" w:cs="Times New Roman"/>
        </w:rPr>
      </w:pPr>
      <w:r>
        <w:rPr>
          <w:rFonts w:ascii="Times New Roman" w:hAnsi="Times New Roman" w:cs="Times New Roman"/>
        </w:rPr>
        <w:separator/>
      </w:r>
    </w:p>
  </w:footnote>
  <w:footnote w:type="continuationSeparator" w:id="0">
    <w:p w:rsidR="00DE05C4" w:rsidRDefault="006E4D14">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304FE"/>
    <w:multiLevelType w:val="hybridMultilevel"/>
    <w:tmpl w:val="5970AF10"/>
    <w:lvl w:ilvl="0" w:tplc="07BE7058">
      <w:start w:val="4"/>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4BF6715D"/>
    <w:multiLevelType w:val="hybridMultilevel"/>
    <w:tmpl w:val="9382604A"/>
    <w:lvl w:ilvl="0" w:tplc="680ACB0E">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2484F82"/>
    <w:multiLevelType w:val="hybridMultilevel"/>
    <w:tmpl w:val="363E5242"/>
    <w:lvl w:ilvl="0" w:tplc="036C9366">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D14"/>
    <w:rsid w:val="000E68C0"/>
    <w:rsid w:val="00174E57"/>
    <w:rsid w:val="003028F7"/>
    <w:rsid w:val="00434F20"/>
    <w:rsid w:val="006E4D14"/>
    <w:rsid w:val="007F3F52"/>
    <w:rsid w:val="00DE05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dTitre">
    <w:name w:val="RedTitre"/>
    <w:basedOn w:val="Normal"/>
    <w:uiPriority w:val="99"/>
    <w:pPr>
      <w:framePr w:hSpace="142" w:wrap="auto" w:vAnchor="text" w:hAnchor="text" w:xAlign="center" w:y="1"/>
      <w:jc w:val="center"/>
    </w:pPr>
    <w:rPr>
      <w:b/>
      <w:bCs/>
      <w:sz w:val="22"/>
      <w:szCs w:val="22"/>
    </w:rPr>
  </w:style>
  <w:style w:type="paragraph" w:customStyle="1" w:styleId="RedNomDoc">
    <w:name w:val="RedNomDoc"/>
    <w:basedOn w:val="Normal"/>
    <w:uiPriority w:val="99"/>
    <w:pPr>
      <w:jc w:val="center"/>
    </w:pPr>
    <w:rPr>
      <w:b/>
      <w:bCs/>
      <w:sz w:val="30"/>
      <w:szCs w:val="30"/>
    </w:rPr>
  </w:style>
  <w:style w:type="paragraph" w:customStyle="1" w:styleId="RedTitre1">
    <w:name w:val="RedTitre1"/>
    <w:basedOn w:val="Normal"/>
    <w:uiPriority w:val="99"/>
    <w:pPr>
      <w:framePr w:hSpace="142" w:wrap="auto" w:vAnchor="text" w:hAnchor="text" w:xAlign="center" w:y="1"/>
      <w:jc w:val="center"/>
    </w:pPr>
    <w:rPr>
      <w:b/>
      <w:bCs/>
      <w:sz w:val="22"/>
      <w:szCs w:val="22"/>
    </w:rPr>
  </w:style>
  <w:style w:type="paragraph" w:customStyle="1" w:styleId="RedTitre2">
    <w:name w:val="RedTitre2"/>
    <w:basedOn w:val="Normal"/>
    <w:uiPriority w:val="99"/>
    <w:pPr>
      <w:keepNext/>
      <w:pBdr>
        <w:top w:val="single" w:sz="6" w:space="1" w:color="auto"/>
        <w:left w:val="single" w:sz="6" w:space="1" w:color="auto"/>
        <w:bottom w:val="single" w:sz="6" w:space="1" w:color="auto"/>
        <w:right w:val="single" w:sz="6" w:space="1" w:color="auto"/>
      </w:pBdr>
      <w:spacing w:before="240" w:after="60"/>
    </w:pPr>
    <w:rPr>
      <w:b/>
      <w:bCs/>
      <w:sz w:val="24"/>
      <w:szCs w:val="24"/>
    </w:rPr>
  </w:style>
  <w:style w:type="paragraph" w:customStyle="1" w:styleId="RedLiRub">
    <w:name w:val="RedLiRub"/>
    <w:basedOn w:val="Normal"/>
    <w:uiPriority w:val="99"/>
    <w:rPr>
      <w:sz w:val="22"/>
      <w:szCs w:val="22"/>
    </w:rPr>
  </w:style>
  <w:style w:type="paragraph" w:customStyle="1" w:styleId="RedPara">
    <w:name w:val="RedPara"/>
    <w:basedOn w:val="Normal"/>
    <w:uiPriority w:val="99"/>
    <w:pPr>
      <w:keepNext/>
      <w:spacing w:before="120" w:after="60"/>
    </w:pPr>
    <w:rPr>
      <w:b/>
      <w:bCs/>
      <w:sz w:val="22"/>
      <w:szCs w:val="22"/>
    </w:rPr>
  </w:style>
  <w:style w:type="paragraph" w:customStyle="1" w:styleId="RedRub">
    <w:name w:val="RedRub"/>
    <w:basedOn w:val="Normal"/>
    <w:uiPriority w:val="99"/>
    <w:pPr>
      <w:keepNext/>
      <w:spacing w:before="60" w:after="60"/>
    </w:pPr>
    <w:rPr>
      <w:b/>
      <w:bCs/>
      <w:sz w:val="22"/>
      <w:szCs w:val="22"/>
    </w:rPr>
  </w:style>
  <w:style w:type="paragraph" w:customStyle="1" w:styleId="RedTxt">
    <w:name w:val="RedTxt"/>
    <w:basedOn w:val="Normal"/>
    <w:uiPriority w:val="99"/>
    <w:pPr>
      <w:keepLines/>
    </w:pPr>
    <w:rPr>
      <w:sz w:val="18"/>
      <w:szCs w:val="18"/>
    </w:rPr>
  </w:style>
  <w:style w:type="paragraph" w:styleId="Pieddepage">
    <w:name w:val="footer"/>
    <w:basedOn w:val="Normal"/>
    <w:link w:val="PieddepageCar"/>
    <w:uiPriority w:val="99"/>
    <w:pPr>
      <w:tabs>
        <w:tab w:val="center" w:pos="4819"/>
        <w:tab w:val="right" w:pos="9071"/>
      </w:tabs>
    </w:pPr>
    <w:rPr>
      <w:sz w:val="24"/>
      <w:szCs w:val="24"/>
    </w:rPr>
  </w:style>
  <w:style w:type="character" w:customStyle="1" w:styleId="PieddepageCar">
    <w:name w:val="Pied de page Car"/>
    <w:basedOn w:val="Policepardfaut"/>
    <w:link w:val="Pieddepage"/>
    <w:uiPriority w:val="99"/>
    <w:rPr>
      <w:rFonts w:ascii="Arial" w:hAnsi="Arial" w:cs="Arial"/>
      <w:sz w:val="20"/>
      <w:szCs w:val="20"/>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rPr>
      <w:rFonts w:ascii="Arial" w:hAnsi="Arial" w:cs="Arial"/>
      <w:sz w:val="20"/>
      <w:szCs w:val="20"/>
    </w:rPr>
  </w:style>
  <w:style w:type="character" w:styleId="Numrodepage">
    <w:name w:val="page number"/>
    <w:basedOn w:val="Policepardfaut"/>
    <w:uiPriority w:val="99"/>
  </w:style>
  <w:style w:type="paragraph" w:styleId="Textedebulles">
    <w:name w:val="Balloon Text"/>
    <w:basedOn w:val="Normal"/>
    <w:link w:val="TextedebullesCar"/>
    <w:uiPriority w:val="99"/>
    <w:semiHidden/>
    <w:unhideWhenUsed/>
    <w:rsid w:val="00434F20"/>
    <w:rPr>
      <w:rFonts w:ascii="Tahoma" w:hAnsi="Tahoma" w:cs="Tahoma"/>
      <w:sz w:val="16"/>
      <w:szCs w:val="16"/>
    </w:rPr>
  </w:style>
  <w:style w:type="character" w:customStyle="1" w:styleId="TextedebullesCar">
    <w:name w:val="Texte de bulles Car"/>
    <w:basedOn w:val="Policepardfaut"/>
    <w:link w:val="Textedebulles"/>
    <w:uiPriority w:val="99"/>
    <w:semiHidden/>
    <w:rsid w:val="00434F20"/>
    <w:rPr>
      <w:rFonts w:ascii="Tahoma" w:hAnsi="Tahoma" w:cs="Tahoma"/>
      <w:sz w:val="16"/>
      <w:szCs w:val="16"/>
    </w:rPr>
  </w:style>
  <w:style w:type="character" w:styleId="Lienhypertexte">
    <w:name w:val="Hyperlink"/>
    <w:rsid w:val="00434F20"/>
    <w:rPr>
      <w:color w:val="0000FF"/>
      <w:u w:val="single"/>
    </w:rPr>
  </w:style>
  <w:style w:type="paragraph" w:customStyle="1" w:styleId="RedaliaNormal">
    <w:name w:val="Redalia : Normal"/>
    <w:basedOn w:val="Normal"/>
    <w:link w:val="RedaliaNormalCar"/>
    <w:autoRedefine/>
    <w:rsid w:val="00434F20"/>
    <w:pPr>
      <w:tabs>
        <w:tab w:val="left" w:leader="dot" w:pos="8505"/>
      </w:tabs>
      <w:autoSpaceDE/>
      <w:autoSpaceDN/>
      <w:adjustRightInd/>
      <w:spacing w:before="40"/>
      <w:jc w:val="both"/>
    </w:pPr>
    <w:rPr>
      <w:rFonts w:ascii="Verdana" w:eastAsia="Times New Roman" w:hAnsi="Verdana" w:cs="Times New Roman"/>
    </w:rPr>
  </w:style>
  <w:style w:type="character" w:customStyle="1" w:styleId="RedaliaNormalCar">
    <w:name w:val="Redalia : Normal Car"/>
    <w:link w:val="RedaliaNormal"/>
    <w:locked/>
    <w:rsid w:val="00434F20"/>
    <w:rPr>
      <w:rFonts w:ascii="Verdana" w:eastAsia="Times New Roman" w:hAnsi="Verdan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dTitre">
    <w:name w:val="RedTitre"/>
    <w:basedOn w:val="Normal"/>
    <w:uiPriority w:val="99"/>
    <w:pPr>
      <w:framePr w:hSpace="142" w:wrap="auto" w:vAnchor="text" w:hAnchor="text" w:xAlign="center" w:y="1"/>
      <w:jc w:val="center"/>
    </w:pPr>
    <w:rPr>
      <w:b/>
      <w:bCs/>
      <w:sz w:val="22"/>
      <w:szCs w:val="22"/>
    </w:rPr>
  </w:style>
  <w:style w:type="paragraph" w:customStyle="1" w:styleId="RedNomDoc">
    <w:name w:val="RedNomDoc"/>
    <w:basedOn w:val="Normal"/>
    <w:uiPriority w:val="99"/>
    <w:pPr>
      <w:jc w:val="center"/>
    </w:pPr>
    <w:rPr>
      <w:b/>
      <w:bCs/>
      <w:sz w:val="30"/>
      <w:szCs w:val="30"/>
    </w:rPr>
  </w:style>
  <w:style w:type="paragraph" w:customStyle="1" w:styleId="RedTitre1">
    <w:name w:val="RedTitre1"/>
    <w:basedOn w:val="Normal"/>
    <w:uiPriority w:val="99"/>
    <w:pPr>
      <w:framePr w:hSpace="142" w:wrap="auto" w:vAnchor="text" w:hAnchor="text" w:xAlign="center" w:y="1"/>
      <w:jc w:val="center"/>
    </w:pPr>
    <w:rPr>
      <w:b/>
      <w:bCs/>
      <w:sz w:val="22"/>
      <w:szCs w:val="22"/>
    </w:rPr>
  </w:style>
  <w:style w:type="paragraph" w:customStyle="1" w:styleId="RedTitre2">
    <w:name w:val="RedTitre2"/>
    <w:basedOn w:val="Normal"/>
    <w:uiPriority w:val="99"/>
    <w:pPr>
      <w:keepNext/>
      <w:pBdr>
        <w:top w:val="single" w:sz="6" w:space="1" w:color="auto"/>
        <w:left w:val="single" w:sz="6" w:space="1" w:color="auto"/>
        <w:bottom w:val="single" w:sz="6" w:space="1" w:color="auto"/>
        <w:right w:val="single" w:sz="6" w:space="1" w:color="auto"/>
      </w:pBdr>
      <w:spacing w:before="240" w:after="60"/>
    </w:pPr>
    <w:rPr>
      <w:b/>
      <w:bCs/>
      <w:sz w:val="24"/>
      <w:szCs w:val="24"/>
    </w:rPr>
  </w:style>
  <w:style w:type="paragraph" w:customStyle="1" w:styleId="RedLiRub">
    <w:name w:val="RedLiRub"/>
    <w:basedOn w:val="Normal"/>
    <w:uiPriority w:val="99"/>
    <w:rPr>
      <w:sz w:val="22"/>
      <w:szCs w:val="22"/>
    </w:rPr>
  </w:style>
  <w:style w:type="paragraph" w:customStyle="1" w:styleId="RedPara">
    <w:name w:val="RedPara"/>
    <w:basedOn w:val="Normal"/>
    <w:uiPriority w:val="99"/>
    <w:pPr>
      <w:keepNext/>
      <w:spacing w:before="120" w:after="60"/>
    </w:pPr>
    <w:rPr>
      <w:b/>
      <w:bCs/>
      <w:sz w:val="22"/>
      <w:szCs w:val="22"/>
    </w:rPr>
  </w:style>
  <w:style w:type="paragraph" w:customStyle="1" w:styleId="RedRub">
    <w:name w:val="RedRub"/>
    <w:basedOn w:val="Normal"/>
    <w:uiPriority w:val="99"/>
    <w:pPr>
      <w:keepNext/>
      <w:spacing w:before="60" w:after="60"/>
    </w:pPr>
    <w:rPr>
      <w:b/>
      <w:bCs/>
      <w:sz w:val="22"/>
      <w:szCs w:val="22"/>
    </w:rPr>
  </w:style>
  <w:style w:type="paragraph" w:customStyle="1" w:styleId="RedTxt">
    <w:name w:val="RedTxt"/>
    <w:basedOn w:val="Normal"/>
    <w:uiPriority w:val="99"/>
    <w:pPr>
      <w:keepLines/>
    </w:pPr>
    <w:rPr>
      <w:sz w:val="18"/>
      <w:szCs w:val="18"/>
    </w:rPr>
  </w:style>
  <w:style w:type="paragraph" w:styleId="Pieddepage">
    <w:name w:val="footer"/>
    <w:basedOn w:val="Normal"/>
    <w:link w:val="PieddepageCar"/>
    <w:uiPriority w:val="99"/>
    <w:pPr>
      <w:tabs>
        <w:tab w:val="center" w:pos="4819"/>
        <w:tab w:val="right" w:pos="9071"/>
      </w:tabs>
    </w:pPr>
    <w:rPr>
      <w:sz w:val="24"/>
      <w:szCs w:val="24"/>
    </w:rPr>
  </w:style>
  <w:style w:type="character" w:customStyle="1" w:styleId="PieddepageCar">
    <w:name w:val="Pied de page Car"/>
    <w:basedOn w:val="Policepardfaut"/>
    <w:link w:val="Pieddepage"/>
    <w:uiPriority w:val="99"/>
    <w:rPr>
      <w:rFonts w:ascii="Arial" w:hAnsi="Arial" w:cs="Arial"/>
      <w:sz w:val="20"/>
      <w:szCs w:val="20"/>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rPr>
      <w:rFonts w:ascii="Arial" w:hAnsi="Arial" w:cs="Arial"/>
      <w:sz w:val="20"/>
      <w:szCs w:val="20"/>
    </w:rPr>
  </w:style>
  <w:style w:type="character" w:styleId="Numrodepage">
    <w:name w:val="page number"/>
    <w:basedOn w:val="Policepardfaut"/>
    <w:uiPriority w:val="99"/>
  </w:style>
  <w:style w:type="paragraph" w:styleId="Textedebulles">
    <w:name w:val="Balloon Text"/>
    <w:basedOn w:val="Normal"/>
    <w:link w:val="TextedebullesCar"/>
    <w:uiPriority w:val="99"/>
    <w:semiHidden/>
    <w:unhideWhenUsed/>
    <w:rsid w:val="00434F20"/>
    <w:rPr>
      <w:rFonts w:ascii="Tahoma" w:hAnsi="Tahoma" w:cs="Tahoma"/>
      <w:sz w:val="16"/>
      <w:szCs w:val="16"/>
    </w:rPr>
  </w:style>
  <w:style w:type="character" w:customStyle="1" w:styleId="TextedebullesCar">
    <w:name w:val="Texte de bulles Car"/>
    <w:basedOn w:val="Policepardfaut"/>
    <w:link w:val="Textedebulles"/>
    <w:uiPriority w:val="99"/>
    <w:semiHidden/>
    <w:rsid w:val="00434F20"/>
    <w:rPr>
      <w:rFonts w:ascii="Tahoma" w:hAnsi="Tahoma" w:cs="Tahoma"/>
      <w:sz w:val="16"/>
      <w:szCs w:val="16"/>
    </w:rPr>
  </w:style>
  <w:style w:type="character" w:styleId="Lienhypertexte">
    <w:name w:val="Hyperlink"/>
    <w:rsid w:val="00434F20"/>
    <w:rPr>
      <w:color w:val="0000FF"/>
      <w:u w:val="single"/>
    </w:rPr>
  </w:style>
  <w:style w:type="paragraph" w:customStyle="1" w:styleId="RedaliaNormal">
    <w:name w:val="Redalia : Normal"/>
    <w:basedOn w:val="Normal"/>
    <w:link w:val="RedaliaNormalCar"/>
    <w:autoRedefine/>
    <w:rsid w:val="00434F20"/>
    <w:pPr>
      <w:tabs>
        <w:tab w:val="left" w:leader="dot" w:pos="8505"/>
      </w:tabs>
      <w:autoSpaceDE/>
      <w:autoSpaceDN/>
      <w:adjustRightInd/>
      <w:spacing w:before="40"/>
      <w:jc w:val="both"/>
    </w:pPr>
    <w:rPr>
      <w:rFonts w:ascii="Verdana" w:eastAsia="Times New Roman" w:hAnsi="Verdana" w:cs="Times New Roman"/>
    </w:rPr>
  </w:style>
  <w:style w:type="character" w:customStyle="1" w:styleId="RedaliaNormalCar">
    <w:name w:val="Redalia : Normal Car"/>
    <w:link w:val="RedaliaNormal"/>
    <w:locked/>
    <w:rsid w:val="00434F20"/>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conomie.gouv.fr/daj/formulaires-declaration-candidat" TargetMode="External"/><Relationship Id="rId5" Type="http://schemas.openxmlformats.org/officeDocument/2006/relationships/settings" Target="settings.xml"/><Relationship Id="rId10" Type="http://schemas.openxmlformats.org/officeDocument/2006/relationships/hyperlink" Target="http://www.economie.gouv.fr/daj/formulaires-declaration-candida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1E933-1A9F-4BA2-B218-37845E2F9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2287</Words>
  <Characters>13742</Characters>
  <Application>Microsoft Office Word</Application>
  <DocSecurity>0</DocSecurity>
  <Lines>114</Lines>
  <Paragraphs>31</Paragraphs>
  <ScaleCrop>false</ScaleCrop>
  <HeadingPairs>
    <vt:vector size="2" baseType="variant">
      <vt:variant>
        <vt:lpstr>Titre</vt:lpstr>
      </vt:variant>
      <vt:variant>
        <vt:i4>1</vt:i4>
      </vt:variant>
    </vt:vector>
  </HeadingPairs>
  <TitlesOfParts>
    <vt:vector size="1" baseType="lpstr">
      <vt:lpstr>[LiNat]</vt:lpstr>
    </vt:vector>
  </TitlesOfParts>
  <Company>SIS</Company>
  <LinksUpToDate>false</LinksUpToDate>
  <CharactersWithSpaces>15998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[LiNat]</dc:title>
  <dc:creator>SB</dc:creator>
  <cp:lastModifiedBy>Grégory Lecointe</cp:lastModifiedBy>
  <cp:revision>6</cp:revision>
  <cp:lastPrinted>2017-02-10T10:59:00Z</cp:lastPrinted>
  <dcterms:created xsi:type="dcterms:W3CDTF">2017-02-10T10:09:00Z</dcterms:created>
  <dcterms:modified xsi:type="dcterms:W3CDTF">2017-02-10T10:59:00Z</dcterms:modified>
</cp:coreProperties>
</file>